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235BB" w:rsidRDefault="0094489C" w:rsidP="00FA4EA6">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sidR="00A37284">
        <w:rPr>
          <w:rFonts w:ascii="Arial" w:hAnsi="Arial" w:cs="Arial" w:hint="eastAsia"/>
          <w:b/>
          <w:bCs/>
          <w:sz w:val="22"/>
          <w:szCs w:val="22"/>
        </w:rPr>
        <w:t>101-e</w:t>
      </w:r>
      <w:r>
        <w:rPr>
          <w:rFonts w:ascii="Arial" w:hAnsi="Arial" w:cs="Arial"/>
          <w:b/>
          <w:bCs/>
          <w:sz w:val="22"/>
          <w:szCs w:val="22"/>
        </w:rPr>
        <w:tab/>
      </w:r>
      <w:r>
        <w:rPr>
          <w:rFonts w:ascii="Arial" w:hAnsi="Arial" w:cs="Arial"/>
          <w:b/>
          <w:bCs/>
          <w:sz w:val="22"/>
          <w:szCs w:val="22"/>
        </w:rPr>
        <w:tab/>
        <w:t>R1-</w:t>
      </w:r>
      <w:r w:rsidR="00931769">
        <w:rPr>
          <w:rFonts w:ascii="Arial" w:hAnsi="Arial" w:cs="Arial" w:hint="eastAsia"/>
          <w:b/>
          <w:bCs/>
          <w:sz w:val="22"/>
          <w:szCs w:val="22"/>
        </w:rPr>
        <w:t>20</w:t>
      </w:r>
      <w:r>
        <w:rPr>
          <w:rFonts w:ascii="Arial" w:hAnsi="Arial" w:cs="Arial"/>
          <w:b/>
          <w:bCs/>
          <w:sz w:val="22"/>
          <w:szCs w:val="22"/>
        </w:rPr>
        <w:t>0</w:t>
      </w:r>
      <w:r w:rsidR="00931769">
        <w:rPr>
          <w:rFonts w:ascii="Arial" w:hAnsi="Arial" w:cs="Arial" w:hint="eastAsia"/>
          <w:b/>
          <w:bCs/>
          <w:sz w:val="22"/>
          <w:szCs w:val="22"/>
        </w:rPr>
        <w:t>3575</w:t>
      </w:r>
    </w:p>
    <w:p w:rsidR="002235BB" w:rsidRPr="00A37284" w:rsidRDefault="00A37284" w:rsidP="00FA4EA6">
      <w:pPr>
        <w:tabs>
          <w:tab w:val="center" w:pos="4536"/>
          <w:tab w:val="right" w:pos="9639"/>
        </w:tabs>
        <w:spacing w:beforeLines="0" w:after="120"/>
        <w:ind w:right="2"/>
        <w:rPr>
          <w:rFonts w:ascii="Arial" w:hAnsi="Arial" w:cs="Arial"/>
          <w:b/>
          <w:bCs/>
          <w:sz w:val="22"/>
          <w:szCs w:val="22"/>
        </w:rPr>
      </w:pPr>
      <w:r>
        <w:rPr>
          <w:rFonts w:ascii="Arial" w:hAnsi="Arial" w:cs="Arial" w:hint="eastAsia"/>
          <w:b/>
          <w:bCs/>
          <w:sz w:val="22"/>
          <w:szCs w:val="22"/>
        </w:rPr>
        <w:t>e-Meeting, May 25th - June 5th, 2020</w:t>
      </w:r>
    </w:p>
    <w:p w:rsidR="002235BB" w:rsidRDefault="0094489C" w:rsidP="00FA4EA6">
      <w:pPr>
        <w:tabs>
          <w:tab w:val="left" w:pos="1985"/>
        </w:tabs>
        <w:spacing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sidR="00A37284">
        <w:rPr>
          <w:rFonts w:ascii="Arial" w:hAnsi="Arial"/>
          <w:b/>
          <w:sz w:val="22"/>
          <w:szCs w:val="22"/>
        </w:rPr>
        <w:t xml:space="preserve">Consideration of </w:t>
      </w:r>
      <w:proofErr w:type="spellStart"/>
      <w:r w:rsidR="00A37284">
        <w:rPr>
          <w:rFonts w:ascii="Arial" w:hAnsi="Arial"/>
          <w:b/>
          <w:sz w:val="22"/>
          <w:szCs w:val="22"/>
        </w:rPr>
        <w:t>sidelink</w:t>
      </w:r>
      <w:proofErr w:type="spellEnd"/>
      <w:r w:rsidR="00A37284">
        <w:rPr>
          <w:rFonts w:ascii="Arial" w:hAnsi="Arial"/>
          <w:b/>
          <w:sz w:val="22"/>
          <w:szCs w:val="22"/>
        </w:rPr>
        <w:t xml:space="preserve"> communication between in-coverage and out-of-coverage</w:t>
      </w:r>
      <w:r w:rsidR="00A37284">
        <w:rPr>
          <w:rFonts w:ascii="Arial" w:hAnsi="Arial" w:hint="eastAsia"/>
          <w:b/>
          <w:sz w:val="22"/>
          <w:szCs w:val="22"/>
        </w:rPr>
        <w:t xml:space="preserve"> UE</w:t>
      </w:r>
    </w:p>
    <w:p w:rsidR="002235BB" w:rsidRDefault="0094489C" w:rsidP="00FA4EA6">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sidR="00FA4EA6">
        <w:rPr>
          <w:rFonts w:ascii="Arial" w:hAnsi="Arial" w:hint="eastAsia"/>
          <w:b/>
          <w:sz w:val="22"/>
          <w:szCs w:val="22"/>
        </w:rPr>
        <w:t xml:space="preserve">, </w:t>
      </w:r>
      <w:proofErr w:type="spellStart"/>
      <w:r w:rsidR="00FA4EA6">
        <w:rPr>
          <w:rFonts w:ascii="Arial" w:hAnsi="Arial" w:hint="eastAsia"/>
          <w:b/>
          <w:sz w:val="22"/>
          <w:szCs w:val="22"/>
        </w:rPr>
        <w:t>Sanechips</w:t>
      </w:r>
      <w:proofErr w:type="spellEnd"/>
    </w:p>
    <w:p w:rsidR="002235BB" w:rsidRDefault="0094489C" w:rsidP="00FA4EA6">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sidR="00994CC9">
        <w:rPr>
          <w:rFonts w:ascii="Arial" w:hAnsi="Arial" w:hint="eastAsia"/>
          <w:b/>
          <w:sz w:val="22"/>
          <w:szCs w:val="22"/>
          <w:lang w:val="pt-BR"/>
        </w:rPr>
        <w:t>7.2.4.8</w:t>
      </w:r>
    </w:p>
    <w:p w:rsidR="002235BB" w:rsidRDefault="0094489C" w:rsidP="00FA4EA6">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2235BB" w:rsidRDefault="0094489C" w:rsidP="00FA4EA6">
      <w:pPr>
        <w:pStyle w:val="1"/>
        <w:spacing w:before="120" w:after="120"/>
        <w:ind w:left="0"/>
        <w:rPr>
          <w:rFonts w:eastAsia="宋体"/>
        </w:rPr>
      </w:pPr>
      <w:r>
        <w:rPr>
          <w:rFonts w:eastAsia="宋体" w:hint="eastAsia"/>
        </w:rPr>
        <w:t>Introduction</w:t>
      </w:r>
    </w:p>
    <w:p w:rsidR="00287184" w:rsidRPr="00287184" w:rsidRDefault="00287184" w:rsidP="00FA4EA6">
      <w:pPr>
        <w:spacing w:before="120" w:after="120"/>
        <w:rPr>
          <w:rFonts w:hint="eastAsia"/>
          <w:sz w:val="20"/>
        </w:rPr>
      </w:pPr>
      <w:r>
        <w:rPr>
          <w:rFonts w:hint="eastAsia"/>
          <w:sz w:val="20"/>
        </w:rPr>
        <w:t>The following agreement was achieved in RAN1 #100e meeting. During RAN1 #100bis-e meeting, understandings were shared on whether a note '</w:t>
      </w:r>
      <w:r>
        <w:rPr>
          <w:sz w:val="20"/>
        </w:rPr>
        <w:t xml:space="preserve">The UL slot(s) derived by out of coverage UE from PSBCH or </w:t>
      </w:r>
      <w:proofErr w:type="spellStart"/>
      <w:r>
        <w:rPr>
          <w:sz w:val="20"/>
        </w:rPr>
        <w:t>preconfiguration</w:t>
      </w:r>
      <w:proofErr w:type="spellEnd"/>
      <w:r>
        <w:rPr>
          <w:sz w:val="20"/>
        </w:rPr>
        <w:t xml:space="preserve"> should be aligned with that derived by in coverage UE from TDD-UL-DL-</w:t>
      </w:r>
      <w:proofErr w:type="spellStart"/>
      <w:r>
        <w:rPr>
          <w:sz w:val="20"/>
        </w:rPr>
        <w:t>ConfigCommon</w:t>
      </w:r>
      <w:proofErr w:type="spellEnd"/>
      <w:r>
        <w:rPr>
          <w:sz w:val="20"/>
        </w:rPr>
        <w:t>.</w:t>
      </w:r>
      <w:r>
        <w:rPr>
          <w:rFonts w:hint="eastAsia"/>
          <w:sz w:val="20"/>
        </w:rPr>
        <w:t>' and modifications are needed with respect to the working assumption on excluding slots not having at least</w:t>
      </w:r>
      <w:r>
        <w:rPr>
          <w:rFonts w:hint="eastAsia"/>
          <w:sz w:val="20"/>
        </w:rPr>
        <w:t xml:space="preserve"> </w:t>
      </w:r>
      <w:r>
        <w:rPr>
          <w:rFonts w:hint="eastAsia"/>
          <w:sz w:val="20"/>
        </w:rPr>
        <w:t>Y-</w:t>
      </w:r>
      <w:proofErr w:type="spellStart"/>
      <w:r>
        <w:rPr>
          <w:rFonts w:hint="eastAsia"/>
          <w:sz w:val="20"/>
        </w:rPr>
        <w:t>th</w:t>
      </w:r>
      <w:proofErr w:type="spellEnd"/>
      <w:r>
        <w:rPr>
          <w:rFonts w:hint="eastAsia"/>
          <w:sz w:val="20"/>
        </w:rPr>
        <w:t>, (Y+1)-</w:t>
      </w:r>
      <w:proofErr w:type="spellStart"/>
      <w:r>
        <w:rPr>
          <w:rFonts w:hint="eastAsia"/>
          <w:sz w:val="20"/>
        </w:rPr>
        <w:t>th</w:t>
      </w:r>
      <w:proofErr w:type="spellEnd"/>
      <w:r>
        <w:rPr>
          <w:rFonts w:hint="eastAsia"/>
          <w:sz w:val="20"/>
        </w:rPr>
        <w:t>,...., (Y+X-1)-</w:t>
      </w:r>
      <w:proofErr w:type="spellStart"/>
      <w:r>
        <w:rPr>
          <w:rFonts w:hint="eastAsia"/>
          <w:sz w:val="20"/>
        </w:rPr>
        <w:t>th</w:t>
      </w:r>
      <w:proofErr w:type="spellEnd"/>
      <w:r>
        <w:rPr>
          <w:rFonts w:hint="eastAsia"/>
          <w:sz w:val="20"/>
        </w:rPr>
        <w:t xml:space="preserve"> symbols therein.</w:t>
      </w:r>
    </w:p>
    <w:p w:rsidR="00287184" w:rsidRDefault="00287184" w:rsidP="00FA4EA6">
      <w:pPr>
        <w:spacing w:before="120" w:after="120"/>
        <w:rPr>
          <w:rFonts w:hint="eastAsia"/>
          <w:sz w:val="20"/>
        </w:rPr>
      </w:pPr>
      <w:r w:rsidRPr="00287184">
        <w:rPr>
          <w:noProof/>
          <w:sz w:val="20"/>
        </w:rPr>
      </w:r>
      <w:r>
        <w:rPr>
          <w:sz w:val="20"/>
        </w:rPr>
        <w:pict>
          <v:shapetype id="_x0000_t202" coordsize="21600,21600" o:spt="202" path="m,l,21600r21600,l21600,xe">
            <v:stroke joinstyle="miter"/>
            <v:path gradientshapeok="t" o:connecttype="rect"/>
          </v:shapetype>
          <v:shape id="_x0000_s1028" type="#_x0000_t202" style="width:477.8pt;height:257.1pt;mso-height-percent:200;mso-position-horizontal-relative:char;mso-position-vertical-relative:line;mso-height-percent:200;mso-width-relative:margin;mso-height-relative:margin">
            <v:textbox style="mso-next-textbox:#_x0000_s1028;mso-fit-shape-to-text:t">
              <w:txbxContent>
                <w:p w:rsidR="00287184" w:rsidRDefault="00287184" w:rsidP="00287184">
                  <w:pPr>
                    <w:spacing w:before="120" w:after="120"/>
                    <w:rPr>
                      <w:sz w:val="20"/>
                      <w:highlight w:val="green"/>
                    </w:rPr>
                  </w:pPr>
                  <w:r>
                    <w:rPr>
                      <w:sz w:val="20"/>
                      <w:highlight w:val="green"/>
                    </w:rPr>
                    <w:t>Agreements:</w:t>
                  </w:r>
                </w:p>
                <w:p w:rsidR="00287184" w:rsidRDefault="00287184" w:rsidP="00287184">
                  <w:pPr>
                    <w:spacing w:before="120" w:after="120"/>
                    <w:rPr>
                      <w:sz w:val="20"/>
                    </w:rPr>
                  </w:pPr>
                  <w:r>
                    <w:rPr>
                      <w:sz w:val="20"/>
                    </w:rPr>
                    <w:t xml:space="preserve">For derivation of the set of slots to be included in the resource pool, the baseline is the derivation with bitmap and periodicity based on </w:t>
                  </w:r>
                  <w:proofErr w:type="spellStart"/>
                  <w:r>
                    <w:rPr>
                      <w:sz w:val="20"/>
                    </w:rPr>
                    <w:t>Subclause</w:t>
                  </w:r>
                  <w:proofErr w:type="spellEnd"/>
                  <w:r>
                    <w:rPr>
                      <w:sz w:val="20"/>
                    </w:rPr>
                    <w:t xml:space="preserve"> 14.1.5 of TS36.213 with the following modifications.</w:t>
                  </w:r>
                </w:p>
                <w:p w:rsidR="00287184" w:rsidRDefault="00287184" w:rsidP="00287184">
                  <w:pPr>
                    <w:pStyle w:val="12"/>
                    <w:numPr>
                      <w:ilvl w:val="0"/>
                      <w:numId w:val="10"/>
                    </w:numPr>
                    <w:rPr>
                      <w:sz w:val="20"/>
                      <w:szCs w:val="20"/>
                    </w:rPr>
                  </w:pPr>
                  <w:r>
                    <w:rPr>
                      <w:sz w:val="20"/>
                      <w:szCs w:val="20"/>
                    </w:rPr>
                    <w:t xml:space="preserve">FFS: Periodicity and </w:t>
                  </w:r>
                  <w:proofErr w:type="spellStart"/>
                  <w:r>
                    <w:rPr>
                      <w:sz w:val="20"/>
                      <w:szCs w:val="20"/>
                    </w:rPr>
                    <w:t>L_bitmap</w:t>
                  </w:r>
                  <w:proofErr w:type="spellEnd"/>
                  <w:r>
                    <w:rPr>
                      <w:sz w:val="20"/>
                      <w:szCs w:val="20"/>
                    </w:rPr>
                    <w:t xml:space="preserve"> value</w:t>
                  </w:r>
                </w:p>
                <w:p w:rsidR="00287184" w:rsidRDefault="00287184" w:rsidP="00287184">
                  <w:pPr>
                    <w:pStyle w:val="12"/>
                    <w:numPr>
                      <w:ilvl w:val="0"/>
                      <w:numId w:val="10"/>
                    </w:numPr>
                    <w:rPr>
                      <w:sz w:val="20"/>
                      <w:szCs w:val="20"/>
                    </w:rPr>
                  </w:pPr>
                  <w:r>
                    <w:rPr>
                      <w:sz w:val="20"/>
                      <w:szCs w:val="20"/>
                    </w:rPr>
                    <w:t>The slot index is relative to slot#0 of the radio frame corresponding to SFN 0 of the serving cell if serving cell timing reference is in use, or DFN 0 otherwise</w:t>
                  </w:r>
                </w:p>
                <w:p w:rsidR="00287184" w:rsidRDefault="00287184" w:rsidP="00287184">
                  <w:pPr>
                    <w:pStyle w:val="12"/>
                    <w:numPr>
                      <w:ilvl w:val="0"/>
                      <w:numId w:val="10"/>
                    </w:numPr>
                    <w:rPr>
                      <w:sz w:val="20"/>
                      <w:szCs w:val="20"/>
                    </w:rPr>
                  </w:pPr>
                  <w:r>
                    <w:rPr>
                      <w:sz w:val="20"/>
                      <w:szCs w:val="20"/>
                    </w:rPr>
                    <w:t xml:space="preserve">The following procedure is used. </w:t>
                  </w:r>
                </w:p>
                <w:p w:rsidR="00287184" w:rsidRDefault="00287184" w:rsidP="00287184">
                  <w:pPr>
                    <w:pStyle w:val="12"/>
                    <w:numPr>
                      <w:ilvl w:val="1"/>
                      <w:numId w:val="10"/>
                    </w:numPr>
                    <w:rPr>
                      <w:sz w:val="20"/>
                      <w:szCs w:val="20"/>
                    </w:rPr>
                  </w:pPr>
                  <w:r>
                    <w:rPr>
                      <w:sz w:val="20"/>
                      <w:szCs w:val="20"/>
                    </w:rPr>
                    <w:t xml:space="preserve">The set includes all the slots except the following slots:  </w:t>
                  </w:r>
                </w:p>
                <w:p w:rsidR="00287184" w:rsidRDefault="00287184" w:rsidP="00287184">
                  <w:pPr>
                    <w:pStyle w:val="12"/>
                    <w:numPr>
                      <w:ilvl w:val="2"/>
                      <w:numId w:val="10"/>
                    </w:numPr>
                    <w:rPr>
                      <w:sz w:val="20"/>
                      <w:szCs w:val="20"/>
                    </w:rPr>
                  </w:pPr>
                  <w:r>
                    <w:rPr>
                      <w:sz w:val="20"/>
                      <w:szCs w:val="20"/>
                    </w:rPr>
                    <w:t xml:space="preserve">Slots in which SLSS resource is configured, </w:t>
                  </w:r>
                </w:p>
                <w:p w:rsidR="00287184" w:rsidRDefault="00287184" w:rsidP="00287184">
                  <w:pPr>
                    <w:pStyle w:val="12"/>
                    <w:numPr>
                      <w:ilvl w:val="2"/>
                      <w:numId w:val="10"/>
                    </w:numPr>
                    <w:rPr>
                      <w:sz w:val="20"/>
                      <w:szCs w:val="20"/>
                    </w:rPr>
                  </w:pPr>
                  <w:r>
                    <w:rPr>
                      <w:rStyle w:val="16"/>
                      <w:sz w:val="20"/>
                      <w:szCs w:val="20"/>
                      <w:highlight w:val="darkYellow"/>
                    </w:rPr>
                    <w:t>(Working assumption)</w:t>
                  </w:r>
                  <w:r>
                    <w:rPr>
                      <w:b/>
                      <w:bCs/>
                      <w:sz w:val="20"/>
                      <w:szCs w:val="20"/>
                    </w:rPr>
                    <w:t xml:space="preserve"> </w:t>
                  </w:r>
                  <w:r>
                    <w:rPr>
                      <w:sz w:val="20"/>
                      <w:szCs w:val="20"/>
                    </w:rPr>
                    <w:t>slots not having at least Y-</w:t>
                  </w:r>
                  <w:proofErr w:type="spellStart"/>
                  <w:r>
                    <w:rPr>
                      <w:sz w:val="20"/>
                      <w:szCs w:val="20"/>
                    </w:rPr>
                    <w:t>th</w:t>
                  </w:r>
                  <w:proofErr w:type="spellEnd"/>
                  <w:r>
                    <w:rPr>
                      <w:sz w:val="20"/>
                      <w:szCs w:val="20"/>
                    </w:rPr>
                    <w:t>, (Y+1)-</w:t>
                  </w:r>
                  <w:proofErr w:type="spellStart"/>
                  <w:r>
                    <w:rPr>
                      <w:sz w:val="20"/>
                      <w:szCs w:val="20"/>
                    </w:rPr>
                    <w:t>th</w:t>
                  </w:r>
                  <w:proofErr w:type="spellEnd"/>
                  <w:r>
                    <w:rPr>
                      <w:sz w:val="20"/>
                      <w:szCs w:val="20"/>
                    </w:rPr>
                    <w:t>, ....., (Y+X-1)-</w:t>
                  </w:r>
                  <w:proofErr w:type="spellStart"/>
                  <w:r>
                    <w:rPr>
                      <w:sz w:val="20"/>
                      <w:szCs w:val="20"/>
                    </w:rPr>
                    <w:t>th</w:t>
                  </w:r>
                  <w:proofErr w:type="spellEnd"/>
                  <w:r>
                    <w:rPr>
                      <w:sz w:val="20"/>
                      <w:szCs w:val="20"/>
                    </w:rPr>
                    <w:t xml:space="preserve"> symbols in a slot semi-statically for UL as indicated in TDD-UL-DL-</w:t>
                  </w:r>
                  <w:proofErr w:type="spellStart"/>
                  <w:r>
                    <w:rPr>
                      <w:sz w:val="20"/>
                      <w:szCs w:val="20"/>
                    </w:rPr>
                    <w:t>ConfigCommon</w:t>
                  </w:r>
                  <w:proofErr w:type="spellEnd"/>
                  <w:r>
                    <w:rPr>
                      <w:sz w:val="20"/>
                      <w:szCs w:val="20"/>
                    </w:rPr>
                    <w:t>, where</w:t>
                  </w:r>
                </w:p>
                <w:p w:rsidR="00287184" w:rsidRDefault="00287184" w:rsidP="00287184">
                  <w:pPr>
                    <w:pStyle w:val="12"/>
                    <w:numPr>
                      <w:ilvl w:val="3"/>
                      <w:numId w:val="10"/>
                    </w:numPr>
                    <w:rPr>
                      <w:sz w:val="20"/>
                      <w:szCs w:val="20"/>
                    </w:rPr>
                  </w:pPr>
                  <w:r>
                    <w:rPr>
                      <w:sz w:val="20"/>
                      <w:szCs w:val="20"/>
                    </w:rPr>
                    <w:t xml:space="preserve">X is </w:t>
                  </w:r>
                  <w:proofErr w:type="spellStart"/>
                  <w:r>
                    <w:rPr>
                      <w:sz w:val="20"/>
                      <w:szCs w:val="20"/>
                    </w:rPr>
                    <w:t>sl-LengthSymbols</w:t>
                  </w:r>
                  <w:proofErr w:type="spellEnd"/>
                </w:p>
                <w:p w:rsidR="00287184" w:rsidRDefault="00287184" w:rsidP="00287184">
                  <w:pPr>
                    <w:pStyle w:val="12"/>
                    <w:numPr>
                      <w:ilvl w:val="3"/>
                      <w:numId w:val="10"/>
                    </w:numPr>
                    <w:rPr>
                      <w:sz w:val="20"/>
                      <w:szCs w:val="20"/>
                    </w:rPr>
                  </w:pPr>
                  <w:r>
                    <w:rPr>
                      <w:sz w:val="20"/>
                      <w:szCs w:val="20"/>
                    </w:rPr>
                    <w:t xml:space="preserve">Y is </w:t>
                  </w:r>
                  <w:proofErr w:type="spellStart"/>
                  <w:r>
                    <w:rPr>
                      <w:sz w:val="20"/>
                      <w:szCs w:val="20"/>
                    </w:rPr>
                    <w:t>sl-StartSymbol</w:t>
                  </w:r>
                  <w:proofErr w:type="spellEnd"/>
                </w:p>
                <w:p w:rsidR="00287184" w:rsidRDefault="00287184" w:rsidP="00287184">
                  <w:pPr>
                    <w:pStyle w:val="12"/>
                    <w:numPr>
                      <w:ilvl w:val="2"/>
                      <w:numId w:val="10"/>
                    </w:numPr>
                    <w:spacing w:before="120" w:after="120"/>
                    <w:rPr>
                      <w:sz w:val="20"/>
                      <w:szCs w:val="20"/>
                    </w:rPr>
                  </w:pPr>
                  <w:r>
                    <w:rPr>
                      <w:rStyle w:val="16"/>
                      <w:sz w:val="20"/>
                      <w:szCs w:val="20"/>
                      <w:highlight w:val="darkYellow"/>
                    </w:rPr>
                    <w:t>(Working assumption)</w:t>
                  </w:r>
                  <w:r>
                    <w:rPr>
                      <w:sz w:val="20"/>
                      <w:szCs w:val="20"/>
                    </w:rPr>
                    <w:t xml:space="preserve"> reserved slots which are determined by the similar steps in </w:t>
                  </w:r>
                  <w:proofErr w:type="spellStart"/>
                  <w:r>
                    <w:rPr>
                      <w:sz w:val="20"/>
                      <w:szCs w:val="20"/>
                    </w:rPr>
                    <w:t>Subclause</w:t>
                  </w:r>
                  <w:proofErr w:type="spellEnd"/>
                  <w:r>
                    <w:rPr>
                      <w:sz w:val="20"/>
                      <w:szCs w:val="20"/>
                    </w:rPr>
                    <w:t xml:space="preserve"> 14.1.5 of TS36.213</w:t>
                  </w:r>
                </w:p>
                <w:p w:rsidR="00287184" w:rsidRPr="00287184" w:rsidRDefault="00287184" w:rsidP="00287184">
                  <w:pPr>
                    <w:spacing w:before="120" w:after="120"/>
                  </w:pPr>
                </w:p>
              </w:txbxContent>
            </v:textbox>
            <w10:wrap type="none"/>
            <w10:anchorlock/>
          </v:shape>
        </w:pict>
      </w:r>
    </w:p>
    <w:p w:rsidR="00197027" w:rsidRDefault="00197027" w:rsidP="00197027">
      <w:pPr>
        <w:spacing w:before="120" w:after="120"/>
        <w:rPr>
          <w:sz w:val="20"/>
        </w:rPr>
      </w:pPr>
      <w:r>
        <w:rPr>
          <w:rFonts w:hint="eastAsia"/>
          <w:sz w:val="20"/>
        </w:rPr>
        <w:t>We provide, in this contribution, further views on the working assumption.</w:t>
      </w:r>
    </w:p>
    <w:p w:rsidR="002235BB" w:rsidRPr="00197027" w:rsidRDefault="002235BB" w:rsidP="00FA4EA6">
      <w:pPr>
        <w:spacing w:before="120" w:after="120"/>
        <w:rPr>
          <w:sz w:val="20"/>
        </w:rPr>
      </w:pPr>
    </w:p>
    <w:p w:rsidR="002235BB" w:rsidRDefault="0094489C" w:rsidP="00FA4EA6">
      <w:pPr>
        <w:pStyle w:val="1"/>
        <w:spacing w:before="120" w:after="120"/>
        <w:ind w:left="0"/>
      </w:pPr>
      <w:r>
        <w:rPr>
          <w:rFonts w:hint="eastAsia"/>
        </w:rPr>
        <w:t>Discussion</w:t>
      </w:r>
      <w:r>
        <w:t>s</w:t>
      </w:r>
      <w:r>
        <w:rPr>
          <w:rFonts w:hint="eastAsia"/>
        </w:rPr>
        <w:t xml:space="preserve"> </w:t>
      </w:r>
    </w:p>
    <w:p w:rsidR="002235BB" w:rsidRPr="00197027" w:rsidRDefault="00197027" w:rsidP="00197027">
      <w:pPr>
        <w:pStyle w:val="2"/>
        <w:spacing w:before="120" w:after="120"/>
        <w:ind w:left="991" w:right="210" w:hangingChars="354" w:hanging="991"/>
        <w:rPr>
          <w:szCs w:val="22"/>
        </w:rPr>
      </w:pPr>
      <w:r>
        <w:rPr>
          <w:rFonts w:eastAsia="宋体" w:hint="eastAsia"/>
          <w:szCs w:val="22"/>
        </w:rPr>
        <w:t>Potential SL slots</w:t>
      </w:r>
    </w:p>
    <w:p w:rsidR="00197027" w:rsidRDefault="00197027" w:rsidP="00197027">
      <w:pPr>
        <w:spacing w:before="120" w:after="120"/>
        <w:rPr>
          <w:sz w:val="20"/>
        </w:rPr>
      </w:pPr>
      <w:r>
        <w:rPr>
          <w:rFonts w:hint="eastAsia"/>
          <w:sz w:val="20"/>
        </w:rPr>
        <w:t xml:space="preserve">The working assumption from RAN1 #100e implies the potential SL slots indicated in </w:t>
      </w:r>
      <w:r>
        <w:rPr>
          <w:rFonts w:hint="eastAsia"/>
          <w:i/>
          <w:sz w:val="20"/>
        </w:rPr>
        <w:t>TDD-UL-DL-</w:t>
      </w:r>
      <w:proofErr w:type="spellStart"/>
      <w:r>
        <w:rPr>
          <w:rFonts w:hint="eastAsia"/>
          <w:i/>
          <w:sz w:val="20"/>
        </w:rPr>
        <w:t>ConfigCommon</w:t>
      </w:r>
      <w:proofErr w:type="spellEnd"/>
      <w:r>
        <w:rPr>
          <w:rFonts w:hint="eastAsia"/>
          <w:sz w:val="20"/>
        </w:rPr>
        <w:t xml:space="preserve"> should have a symbol range</w:t>
      </w:r>
      <w:r>
        <w:rPr>
          <w:rFonts w:hint="eastAsia"/>
          <w:i/>
          <w:sz w:val="20"/>
        </w:rPr>
        <w:t xml:space="preserve"> Y, Y+1, ... ,Y+X-1 </w:t>
      </w:r>
      <w:r>
        <w:rPr>
          <w:rFonts w:hint="eastAsia"/>
          <w:sz w:val="20"/>
        </w:rPr>
        <w:t>where X and Y are the start symbol and symbol length with respect to a slot in SL BWP.</w:t>
      </w:r>
      <w:r>
        <w:rPr>
          <w:rFonts w:hint="eastAsia"/>
          <w:i/>
          <w:sz w:val="20"/>
        </w:rPr>
        <w:t xml:space="preserve"> </w:t>
      </w:r>
      <w:r>
        <w:rPr>
          <w:rFonts w:hint="eastAsia"/>
          <w:sz w:val="20"/>
        </w:rPr>
        <w:t xml:space="preserve">Per TS38.213 description, the slots indicated in </w:t>
      </w:r>
      <w:r>
        <w:rPr>
          <w:rFonts w:hint="eastAsia"/>
          <w:i/>
          <w:sz w:val="20"/>
        </w:rPr>
        <w:t>TDD-UL-DL-</w:t>
      </w:r>
      <w:proofErr w:type="spellStart"/>
      <w:r>
        <w:rPr>
          <w:rFonts w:hint="eastAsia"/>
          <w:i/>
          <w:sz w:val="20"/>
        </w:rPr>
        <w:t>ConfigCommon</w:t>
      </w:r>
      <w:proofErr w:type="spellEnd"/>
      <w:r>
        <w:rPr>
          <w:rFonts w:hint="eastAsia"/>
          <w:sz w:val="20"/>
        </w:rPr>
        <w:t xml:space="preserve"> are measured by </w:t>
      </w:r>
      <w:proofErr w:type="spellStart"/>
      <w:r>
        <w:rPr>
          <w:b/>
          <w:i/>
          <w:sz w:val="20"/>
        </w:rPr>
        <w:t>referenceSubcarrierSpacing</w:t>
      </w:r>
      <w:proofErr w:type="spellEnd"/>
      <w:r>
        <w:rPr>
          <w:rFonts w:hint="eastAsia"/>
          <w:sz w:val="20"/>
        </w:rPr>
        <w:t xml:space="preserve"> with </w:t>
      </w:r>
      <w:r>
        <w:rPr>
          <w:noProof/>
          <w:position w:val="-10"/>
          <w:sz w:val="20"/>
        </w:rPr>
        <w:drawing>
          <wp:inline distT="0" distB="0" distL="0" distR="0">
            <wp:extent cx="278130" cy="197485"/>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32"/>
                    <pic:cNvPicPr>
                      <a:picLocks noChangeAspect="1" noChangeArrowheads="1"/>
                    </pic:cNvPicPr>
                  </pic:nvPicPr>
                  <pic:blipFill>
                    <a:blip r:embed="rId8" cstate="print"/>
                    <a:srcRect/>
                    <a:stretch>
                      <a:fillRect/>
                    </a:stretch>
                  </pic:blipFill>
                  <pic:spPr>
                    <a:xfrm>
                      <a:off x="0" y="0"/>
                      <a:ext cx="278130" cy="197485"/>
                    </a:xfrm>
                    <a:prstGeom prst="rect">
                      <a:avLst/>
                    </a:prstGeom>
                    <a:noFill/>
                    <a:ln w="9525">
                      <a:noFill/>
                      <a:miter lim="800000"/>
                      <a:headEnd/>
                      <a:tailEnd/>
                    </a:ln>
                  </pic:spPr>
                </pic:pic>
              </a:graphicData>
            </a:graphic>
          </wp:inline>
        </w:drawing>
      </w:r>
      <w:r>
        <w:rPr>
          <w:rFonts w:hint="eastAsia"/>
          <w:sz w:val="20"/>
        </w:rPr>
        <w:t xml:space="preserve"> therein and corresponds to  </w:t>
      </w:r>
      <w:r>
        <w:rPr>
          <w:noProof/>
          <w:position w:val="-4"/>
          <w:sz w:val="20"/>
        </w:rPr>
        <w:drawing>
          <wp:inline distT="0" distB="0" distL="0" distR="0">
            <wp:extent cx="358140" cy="182880"/>
            <wp:effectExtent l="19050" t="0" r="381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noChangeArrowheads="1"/>
                    </pic:cNvPicPr>
                  </pic:nvPicPr>
                  <pic:blipFill>
                    <a:blip r:embed="rId9" cstate="print"/>
                    <a:srcRect/>
                    <a:stretch>
                      <a:fillRect/>
                    </a:stretch>
                  </pic:blipFill>
                  <pic:spPr>
                    <a:xfrm>
                      <a:off x="0" y="0"/>
                      <a:ext cx="358140" cy="182880"/>
                    </a:xfrm>
                    <a:prstGeom prst="rect">
                      <a:avLst/>
                    </a:prstGeom>
                    <a:noFill/>
                    <a:ln w="9525">
                      <a:noFill/>
                      <a:miter lim="800000"/>
                      <a:headEnd/>
                      <a:tailEnd/>
                    </a:ln>
                  </pic:spPr>
                </pic:pic>
              </a:graphicData>
            </a:graphic>
          </wp:inline>
        </w:drawing>
      </w:r>
      <w:r>
        <w:rPr>
          <w:rFonts w:hint="eastAsia"/>
          <w:sz w:val="20"/>
        </w:rPr>
        <w:t xml:space="preserve">. in UL BWP with subcarrier configuration </w:t>
      </w:r>
      <w:r>
        <w:rPr>
          <w:noProof/>
          <w:position w:val="-10"/>
          <w:sz w:val="20"/>
        </w:rPr>
        <w:drawing>
          <wp:inline distT="0" distB="0" distL="0" distR="0">
            <wp:extent cx="182880" cy="160655"/>
            <wp:effectExtent l="0" t="0" r="0" b="0"/>
            <wp:docPr id="1"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8"/>
                    <pic:cNvPicPr>
                      <a:picLocks noChangeAspect="1" noChangeArrowheads="1"/>
                    </pic:cNvPicPr>
                  </pic:nvPicPr>
                  <pic:blipFill>
                    <a:blip r:embed="rId10" cstate="print"/>
                    <a:srcRect/>
                    <a:stretch>
                      <a:fillRect/>
                    </a:stretch>
                  </pic:blipFill>
                  <pic:spPr>
                    <a:xfrm>
                      <a:off x="0" y="0"/>
                      <a:ext cx="182880" cy="160655"/>
                    </a:xfrm>
                    <a:prstGeom prst="rect">
                      <a:avLst/>
                    </a:prstGeom>
                    <a:noFill/>
                    <a:ln w="9525">
                      <a:noFill/>
                      <a:miter lim="800000"/>
                      <a:headEnd/>
                      <a:tailEnd/>
                    </a:ln>
                  </pic:spPr>
                </pic:pic>
              </a:graphicData>
            </a:graphic>
          </wp:inline>
        </w:drawing>
      </w:r>
      <w:r>
        <w:rPr>
          <w:rFonts w:hint="eastAsia"/>
          <w:sz w:val="20"/>
        </w:rPr>
        <w:t xml:space="preserve"> </w:t>
      </w:r>
    </w:p>
    <w:p w:rsidR="002235BB" w:rsidRPr="00197027" w:rsidRDefault="002235BB" w:rsidP="00FA4EA6">
      <w:pPr>
        <w:spacing w:before="120" w:after="120"/>
        <w:rPr>
          <w:sz w:val="20"/>
        </w:rPr>
      </w:pPr>
    </w:p>
    <w:p w:rsidR="002235BB" w:rsidRDefault="00915B95" w:rsidP="00FA4EA6">
      <w:pPr>
        <w:spacing w:before="120" w:after="120"/>
        <w:rPr>
          <w:sz w:val="20"/>
        </w:rPr>
      </w:pPr>
      <w:r w:rsidRPr="00915B95">
        <w:rPr>
          <w:noProof/>
          <w:sz w:val="20"/>
        </w:rPr>
      </w:r>
      <w:r>
        <w:rPr>
          <w:sz w:val="20"/>
        </w:rPr>
        <w:pict>
          <v:shape id="_x0000_s1029" type="#_x0000_t202" style="width:482.65pt;height:72.8pt;mso-height-percent:200;mso-position-horizontal-relative:char;mso-position-vertical-relative:line;mso-height-percent:200;mso-width-relative:margin;mso-height-relative:margin">
            <v:textbox style="mso-fit-shape-to-text:t">
              <w:txbxContent>
                <w:p w:rsidR="00915B95" w:rsidRDefault="00915B95" w:rsidP="00915B95">
                  <w:pPr>
                    <w:spacing w:before="120" w:after="120"/>
                  </w:pPr>
                  <w:r>
                    <w:t xml:space="preserve">The </w:t>
                  </w:r>
                  <w:proofErr w:type="spellStart"/>
                  <w:r>
                    <w:rPr>
                      <w:i/>
                    </w:rPr>
                    <w:t>tdd</w:t>
                  </w:r>
                  <w:proofErr w:type="spellEnd"/>
                  <w:r>
                    <w:rPr>
                      <w:i/>
                    </w:rPr>
                    <w:t>-UL-DL-</w:t>
                  </w:r>
                  <w:proofErr w:type="spellStart"/>
                  <w:r>
                    <w:rPr>
                      <w:i/>
                    </w:rPr>
                    <w:t>ConfigurationCommon</w:t>
                  </w:r>
                  <w:proofErr w:type="spellEnd"/>
                  <w:r>
                    <w:t xml:space="preserve"> provides</w:t>
                  </w:r>
                </w:p>
                <w:p w:rsidR="00915B95" w:rsidRDefault="00915B95" w:rsidP="00915B95">
                  <w:pPr>
                    <w:pStyle w:val="B2"/>
                    <w:spacing w:before="120" w:after="120"/>
                    <w:ind w:left="0" w:firstLine="270"/>
                  </w:pPr>
                  <w:r>
                    <w:t>-</w:t>
                  </w:r>
                  <w:r>
                    <w:tab/>
                    <w:t xml:space="preserve">a reference SCS configuration </w:t>
                  </w:r>
                  <w:r>
                    <w:rPr>
                      <w:noProof/>
                      <w:position w:val="-10"/>
                    </w:rPr>
                    <w:drawing>
                      <wp:inline distT="0" distB="0" distL="0" distR="0">
                        <wp:extent cx="278130" cy="21209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pic:cNvPicPr>
                                  <a:picLocks noChangeAspect="1" noChangeArrowheads="1"/>
                                </pic:cNvPicPr>
                              </pic:nvPicPr>
                              <pic:blipFill>
                                <a:blip r:embed="rId11" cstate="print"/>
                                <a:srcRect/>
                                <a:stretch>
                                  <a:fillRect/>
                                </a:stretch>
                              </pic:blipFill>
                              <pic:spPr>
                                <a:xfrm>
                                  <a:off x="0" y="0"/>
                                  <a:ext cx="278130" cy="212090"/>
                                </a:xfrm>
                                <a:prstGeom prst="rect">
                                  <a:avLst/>
                                </a:prstGeom>
                                <a:noFill/>
                                <a:ln w="9525">
                                  <a:noFill/>
                                  <a:miter lim="800000"/>
                                  <a:headEnd/>
                                  <a:tailEnd/>
                                </a:ln>
                              </pic:spPr>
                            </pic:pic>
                          </a:graphicData>
                        </a:graphic>
                      </wp:inline>
                    </w:drawing>
                  </w:r>
                  <w:r>
                    <w:t xml:space="preserve"> by </w:t>
                  </w:r>
                  <w:proofErr w:type="spellStart"/>
                  <w:r>
                    <w:rPr>
                      <w:i/>
                    </w:rPr>
                    <w:t>referenceSubcarrierSpacing</w:t>
                  </w:r>
                  <w:proofErr w:type="spellEnd"/>
                </w:p>
                <w:p w:rsidR="00915B95" w:rsidRDefault="00915B95" w:rsidP="00915B95">
                  <w:pPr>
                    <w:spacing w:before="120" w:after="120"/>
                  </w:pPr>
                  <w:r>
                    <w:t>-</w:t>
                  </w:r>
                  <w:r>
                    <w:tab/>
                    <w:t xml:space="preserve">a </w:t>
                  </w:r>
                  <w:r>
                    <w:rPr>
                      <w:i/>
                    </w:rPr>
                    <w:t>pattern1</w:t>
                  </w:r>
                  <w:r>
                    <w:t>.</w:t>
                  </w:r>
                </w:p>
              </w:txbxContent>
            </v:textbox>
            <w10:wrap type="none"/>
            <w10:anchorlock/>
          </v:shape>
        </w:pict>
      </w:r>
    </w:p>
    <w:p w:rsidR="00915B95" w:rsidRDefault="00915B95" w:rsidP="00915B95">
      <w:pPr>
        <w:spacing w:before="120" w:after="120"/>
      </w:pPr>
      <w:bookmarkStart w:id="0" w:name="_Toc6764"/>
      <w:bookmarkStart w:id="1" w:name="_Toc24792"/>
      <w:bookmarkStart w:id="2" w:name="_Toc939"/>
      <w:bookmarkEnd w:id="0"/>
      <w:bookmarkEnd w:id="1"/>
      <w:bookmarkEnd w:id="2"/>
      <w:r>
        <w:rPr>
          <w:rFonts w:hint="eastAsia"/>
        </w:rPr>
        <w:t>Thus we think it necessary to clarify the slots indicated is effectively the slots in SL BWP, i.e. measured by the SCS of the SL BWP. Figure.1 is an illustration on an example with Y = 6, X = 8,u</w:t>
      </w:r>
      <w:r>
        <w:rPr>
          <w:rFonts w:hint="eastAsia"/>
          <w:i/>
          <w:vertAlign w:val="subscript"/>
        </w:rPr>
        <w:t>sym</w:t>
      </w:r>
      <w:r>
        <w:rPr>
          <w:rFonts w:hint="eastAsia"/>
          <w:vertAlign w:val="subscript"/>
        </w:rPr>
        <w:t xml:space="preserve"> </w:t>
      </w:r>
      <w:r>
        <w:rPr>
          <w:rFonts w:hint="eastAsia"/>
        </w:rPr>
        <w:t>=</w:t>
      </w:r>
      <w:r>
        <w:rPr>
          <w:rFonts w:hint="eastAsia"/>
          <w:vertAlign w:val="subscript"/>
        </w:rPr>
        <w:t xml:space="preserve"> </w:t>
      </w:r>
      <w:r>
        <w:rPr>
          <w:rFonts w:hint="eastAsia"/>
        </w:rPr>
        <w:t>4 and the corresponding reference SCS and SL BWP SCS configuration. Without the clarification, we see the partial slot with 4 UL symbols may need to be excluded while this slot is in fact feasible as potential SL slot.</w:t>
      </w:r>
    </w:p>
    <w:p w:rsidR="00915B95" w:rsidRDefault="00915B95" w:rsidP="00FA4EA6">
      <w:pPr>
        <w:spacing w:before="120" w:after="120"/>
        <w:rPr>
          <w:rFonts w:hint="eastAsia"/>
          <w:sz w:val="20"/>
        </w:rPr>
      </w:pPr>
    </w:p>
    <w:p w:rsidR="00915B95" w:rsidRDefault="00915B95" w:rsidP="00915B95">
      <w:pPr>
        <w:spacing w:before="120" w:after="120"/>
        <w:jc w:val="center"/>
        <w:rPr>
          <w:rFonts w:hint="eastAsia"/>
          <w:sz w:val="20"/>
        </w:rPr>
      </w:pPr>
      <w:r>
        <w:object w:dxaOrig="3831" w:dyaOrig="1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86.4pt;height:99.4pt" o:ole="">
            <v:imagedata r:id="rId12" o:title=""/>
          </v:shape>
          <o:OLEObject Type="Embed" ProgID="Visio.Drawing.11" ShapeID="_x0000_i1027" DrawAspect="Content" ObjectID="_1651064582" r:id="rId13"/>
        </w:object>
      </w:r>
    </w:p>
    <w:p w:rsidR="00915B95" w:rsidRDefault="00915B95" w:rsidP="00915B95">
      <w:pPr>
        <w:pStyle w:val="a8"/>
        <w:ind w:left="840" w:hanging="420"/>
        <w:jc w:val="center"/>
      </w:pPr>
      <w:r>
        <w:t xml:space="preserve">Figure. </w:t>
      </w:r>
      <w:r>
        <w:fldChar w:fldCharType="begin"/>
      </w:r>
      <w:r>
        <w:instrText xml:space="preserve"> SEQ Figure. \* ARABIC </w:instrText>
      </w:r>
      <w:r>
        <w:fldChar w:fldCharType="separate"/>
      </w:r>
      <w:r>
        <w:t>1</w:t>
      </w:r>
      <w:r>
        <w:fldChar w:fldCharType="end"/>
      </w:r>
      <w:r>
        <w:rPr>
          <w:rFonts w:hint="eastAsia"/>
        </w:rPr>
        <w:t xml:space="preserve"> Illustration of slots indicated </w:t>
      </w:r>
      <w:r>
        <w:t>in TDD-UL-DL-</w:t>
      </w:r>
      <w:proofErr w:type="spellStart"/>
      <w:r>
        <w:t>ConfigCommon</w:t>
      </w:r>
      <w:proofErr w:type="spellEnd"/>
    </w:p>
    <w:p w:rsidR="00915B95" w:rsidRDefault="00915B95" w:rsidP="00915B95">
      <w:pPr>
        <w:pStyle w:val="YJ-Proposal"/>
        <w:numPr>
          <w:ilvl w:val="0"/>
          <w:numId w:val="0"/>
        </w:numPr>
        <w:spacing w:before="120" w:after="120"/>
        <w:rPr>
          <w:lang w:val="en-US" w:eastAsia="zh-CN"/>
        </w:rPr>
      </w:pPr>
      <w:r>
        <w:rPr>
          <w:rFonts w:hint="eastAsia"/>
          <w:lang w:val="en-US" w:eastAsia="zh-CN"/>
        </w:rPr>
        <w:t>Observation 1: The following clarification is needed in the WA.</w:t>
      </w:r>
    </w:p>
    <w:p w:rsidR="00915B95" w:rsidRDefault="00915B95" w:rsidP="00915B95">
      <w:pPr>
        <w:pStyle w:val="12"/>
        <w:numPr>
          <w:ilvl w:val="2"/>
          <w:numId w:val="10"/>
        </w:numPr>
        <w:rPr>
          <w:b/>
          <w:bCs/>
          <w:i/>
          <w:iCs/>
          <w:sz w:val="20"/>
          <w:szCs w:val="20"/>
        </w:rPr>
      </w:pPr>
      <w:r>
        <w:rPr>
          <w:rStyle w:val="16"/>
          <w:b w:val="0"/>
          <w:bCs w:val="0"/>
          <w:i/>
          <w:iCs/>
          <w:sz w:val="20"/>
          <w:szCs w:val="20"/>
          <w:highlight w:val="darkYellow"/>
        </w:rPr>
        <w:t>(Working assumption)</w:t>
      </w:r>
      <w:r>
        <w:rPr>
          <w:b/>
          <w:bCs/>
          <w:i/>
          <w:iCs/>
          <w:sz w:val="20"/>
          <w:szCs w:val="20"/>
        </w:rPr>
        <w:t xml:space="preserve"> slots</w:t>
      </w:r>
      <w:r>
        <w:rPr>
          <w:rFonts w:hint="eastAsia"/>
          <w:b/>
          <w:bCs/>
          <w:i/>
          <w:iCs/>
          <w:color w:val="000000" w:themeColor="text1"/>
          <w:sz w:val="20"/>
          <w:szCs w:val="20"/>
        </w:rPr>
        <w:t xml:space="preserve"> </w:t>
      </w:r>
      <w:r>
        <w:rPr>
          <w:rFonts w:hint="eastAsia"/>
          <w:b/>
          <w:bCs/>
          <w:i/>
          <w:iCs/>
          <w:color w:val="FF0000"/>
          <w:sz w:val="20"/>
          <w:szCs w:val="20"/>
        </w:rPr>
        <w:t>in SL BWP</w:t>
      </w:r>
      <w:r>
        <w:rPr>
          <w:b/>
          <w:bCs/>
          <w:i/>
          <w:iCs/>
          <w:color w:val="FF0000"/>
          <w:sz w:val="20"/>
          <w:szCs w:val="20"/>
        </w:rPr>
        <w:t xml:space="preserve"> </w:t>
      </w:r>
      <w:r>
        <w:rPr>
          <w:b/>
          <w:bCs/>
          <w:i/>
          <w:iCs/>
          <w:sz w:val="20"/>
          <w:szCs w:val="20"/>
        </w:rPr>
        <w:t>not having at least Y-</w:t>
      </w:r>
      <w:proofErr w:type="spellStart"/>
      <w:r>
        <w:rPr>
          <w:b/>
          <w:bCs/>
          <w:i/>
          <w:iCs/>
          <w:sz w:val="20"/>
          <w:szCs w:val="20"/>
        </w:rPr>
        <w:t>th</w:t>
      </w:r>
      <w:proofErr w:type="spellEnd"/>
      <w:r>
        <w:rPr>
          <w:b/>
          <w:bCs/>
          <w:i/>
          <w:iCs/>
          <w:sz w:val="20"/>
          <w:szCs w:val="20"/>
        </w:rPr>
        <w:t>, (Y+1)-</w:t>
      </w:r>
      <w:proofErr w:type="spellStart"/>
      <w:r>
        <w:rPr>
          <w:b/>
          <w:bCs/>
          <w:i/>
          <w:iCs/>
          <w:sz w:val="20"/>
          <w:szCs w:val="20"/>
        </w:rPr>
        <w:t>th</w:t>
      </w:r>
      <w:proofErr w:type="spellEnd"/>
      <w:r>
        <w:rPr>
          <w:b/>
          <w:bCs/>
          <w:i/>
          <w:iCs/>
          <w:sz w:val="20"/>
          <w:szCs w:val="20"/>
        </w:rPr>
        <w:t>, ....., (Y+X-1)-</w:t>
      </w:r>
      <w:proofErr w:type="spellStart"/>
      <w:r>
        <w:rPr>
          <w:b/>
          <w:bCs/>
          <w:i/>
          <w:iCs/>
          <w:sz w:val="20"/>
          <w:szCs w:val="20"/>
        </w:rPr>
        <w:t>th</w:t>
      </w:r>
      <w:proofErr w:type="spellEnd"/>
      <w:r>
        <w:rPr>
          <w:b/>
          <w:bCs/>
          <w:i/>
          <w:iCs/>
          <w:sz w:val="20"/>
          <w:szCs w:val="20"/>
        </w:rPr>
        <w:t xml:space="preserve"> symbols in a slot semi-statically for UL as indicated in TDD-UL-DL-</w:t>
      </w:r>
      <w:proofErr w:type="spellStart"/>
      <w:r>
        <w:rPr>
          <w:b/>
          <w:bCs/>
          <w:i/>
          <w:iCs/>
          <w:sz w:val="20"/>
          <w:szCs w:val="20"/>
        </w:rPr>
        <w:t>ConfigCommon</w:t>
      </w:r>
      <w:proofErr w:type="spellEnd"/>
      <w:r>
        <w:rPr>
          <w:b/>
          <w:bCs/>
          <w:i/>
          <w:iCs/>
          <w:sz w:val="20"/>
          <w:szCs w:val="20"/>
        </w:rPr>
        <w:t>, where</w:t>
      </w:r>
    </w:p>
    <w:p w:rsidR="00915B95" w:rsidRDefault="00915B95" w:rsidP="00915B95">
      <w:pPr>
        <w:pStyle w:val="12"/>
        <w:numPr>
          <w:ilvl w:val="3"/>
          <w:numId w:val="10"/>
        </w:numPr>
        <w:rPr>
          <w:b/>
          <w:bCs/>
          <w:i/>
          <w:iCs/>
          <w:sz w:val="20"/>
          <w:szCs w:val="20"/>
        </w:rPr>
      </w:pPr>
      <w:r>
        <w:rPr>
          <w:b/>
          <w:bCs/>
          <w:i/>
          <w:iCs/>
          <w:sz w:val="20"/>
          <w:szCs w:val="20"/>
        </w:rPr>
        <w:t xml:space="preserve">X is </w:t>
      </w:r>
      <w:proofErr w:type="spellStart"/>
      <w:r>
        <w:rPr>
          <w:b/>
          <w:bCs/>
          <w:i/>
          <w:iCs/>
          <w:sz w:val="20"/>
          <w:szCs w:val="20"/>
        </w:rPr>
        <w:t>sl-LengthSymbols</w:t>
      </w:r>
      <w:proofErr w:type="spellEnd"/>
    </w:p>
    <w:p w:rsidR="00915B95" w:rsidRDefault="00915B95" w:rsidP="00915B95">
      <w:pPr>
        <w:pStyle w:val="12"/>
        <w:numPr>
          <w:ilvl w:val="3"/>
          <w:numId w:val="10"/>
        </w:numPr>
        <w:rPr>
          <w:b/>
          <w:bCs/>
          <w:i/>
          <w:iCs/>
          <w:sz w:val="20"/>
          <w:szCs w:val="20"/>
        </w:rPr>
      </w:pPr>
      <w:r>
        <w:rPr>
          <w:b/>
          <w:bCs/>
          <w:i/>
          <w:iCs/>
          <w:sz w:val="20"/>
          <w:szCs w:val="20"/>
        </w:rPr>
        <w:t xml:space="preserve">Y is </w:t>
      </w:r>
      <w:proofErr w:type="spellStart"/>
      <w:r>
        <w:rPr>
          <w:b/>
          <w:bCs/>
          <w:i/>
          <w:iCs/>
          <w:sz w:val="20"/>
          <w:szCs w:val="20"/>
        </w:rPr>
        <w:t>sl-StartSymbol</w:t>
      </w:r>
      <w:proofErr w:type="spellEnd"/>
    </w:p>
    <w:p w:rsidR="00915B95" w:rsidRDefault="00915B95" w:rsidP="00915B95">
      <w:pPr>
        <w:spacing w:before="120" w:after="120"/>
      </w:pPr>
    </w:p>
    <w:p w:rsidR="00915B95" w:rsidRPr="00915B95" w:rsidRDefault="00915B95" w:rsidP="00915B95">
      <w:pPr>
        <w:pStyle w:val="2"/>
        <w:spacing w:before="120" w:after="120"/>
        <w:ind w:left="991" w:right="210" w:hangingChars="354" w:hanging="991"/>
        <w:rPr>
          <w:rFonts w:eastAsia="宋体" w:hint="eastAsia"/>
          <w:szCs w:val="22"/>
        </w:rPr>
      </w:pPr>
      <w:r w:rsidRPr="00915B95">
        <w:rPr>
          <w:rFonts w:eastAsia="宋体" w:hint="eastAsia"/>
          <w:szCs w:val="22"/>
        </w:rPr>
        <w:t xml:space="preserve">On alignment of interpretation of potential SL slots for </w:t>
      </w:r>
      <w:r w:rsidR="009B5F22">
        <w:rPr>
          <w:rFonts w:eastAsia="宋体" w:hint="eastAsia"/>
          <w:szCs w:val="22"/>
        </w:rPr>
        <w:t>in-coverage</w:t>
      </w:r>
      <w:r w:rsidRPr="00915B95">
        <w:rPr>
          <w:rFonts w:eastAsia="宋体" w:hint="eastAsia"/>
          <w:szCs w:val="22"/>
        </w:rPr>
        <w:t xml:space="preserve"> and </w:t>
      </w:r>
      <w:r w:rsidR="009B5F22">
        <w:rPr>
          <w:rFonts w:eastAsia="宋体" w:hint="eastAsia"/>
          <w:szCs w:val="22"/>
        </w:rPr>
        <w:t>Out-of-Coverag</w:t>
      </w:r>
      <w:r w:rsidR="00CB44A7">
        <w:rPr>
          <w:rFonts w:eastAsia="宋体" w:hint="eastAsia"/>
          <w:szCs w:val="22"/>
        </w:rPr>
        <w:t>e</w:t>
      </w:r>
      <w:r w:rsidRPr="00915B95">
        <w:rPr>
          <w:rFonts w:eastAsia="宋体" w:hint="eastAsia"/>
          <w:szCs w:val="22"/>
        </w:rPr>
        <w:t xml:space="preserve"> UE</w:t>
      </w:r>
    </w:p>
    <w:p w:rsidR="00D819C5" w:rsidRDefault="00D819C5" w:rsidP="00D819C5">
      <w:pPr>
        <w:spacing w:before="120" w:after="120"/>
        <w:rPr>
          <w:sz w:val="20"/>
        </w:rPr>
      </w:pPr>
      <w:r>
        <w:rPr>
          <w:rFonts w:hint="eastAsia"/>
          <w:sz w:val="20"/>
        </w:rPr>
        <w:t xml:space="preserve">For </w:t>
      </w:r>
      <w:proofErr w:type="spellStart"/>
      <w:r>
        <w:rPr>
          <w:rFonts w:hint="eastAsia"/>
          <w:sz w:val="20"/>
        </w:rPr>
        <w:t>InC</w:t>
      </w:r>
      <w:proofErr w:type="spellEnd"/>
      <w:r w:rsidR="009B5F22">
        <w:rPr>
          <w:rFonts w:hint="eastAsia"/>
          <w:sz w:val="20"/>
        </w:rPr>
        <w:t>(in-coverage)</w:t>
      </w:r>
      <w:r>
        <w:rPr>
          <w:rFonts w:hint="eastAsia"/>
          <w:sz w:val="20"/>
        </w:rPr>
        <w:t xml:space="preserve"> UE, according to the ASN.1 text for LTE V2X, the receive resource pools are retrieved from </w:t>
      </w:r>
      <w:r>
        <w:rPr>
          <w:b/>
          <w:i/>
          <w:sz w:val="20"/>
        </w:rPr>
        <w:t>v2x-CommRxPoolList-r14</w:t>
      </w:r>
      <w:r>
        <w:rPr>
          <w:rFonts w:hint="eastAsia"/>
          <w:sz w:val="20"/>
        </w:rPr>
        <w:t xml:space="preserve"> in</w:t>
      </w:r>
      <w:r>
        <w:rPr>
          <w:rFonts w:hint="eastAsia"/>
          <w:b/>
          <w:i/>
          <w:sz w:val="20"/>
        </w:rPr>
        <w:t xml:space="preserve"> e.g. </w:t>
      </w:r>
      <w:r>
        <w:rPr>
          <w:sz w:val="20"/>
        </w:rPr>
        <w:t>SL-V2X-ConfigCommon-r14</w:t>
      </w:r>
      <w:r>
        <w:rPr>
          <w:rFonts w:hint="eastAsia"/>
          <w:sz w:val="20"/>
        </w:rPr>
        <w:t xml:space="preserve"> and </w:t>
      </w:r>
      <w:r>
        <w:rPr>
          <w:sz w:val="20"/>
        </w:rPr>
        <w:t>SL-V2X-InterFreqUE-Config-r14</w:t>
      </w:r>
      <w:r>
        <w:rPr>
          <w:rFonts w:hint="eastAsia"/>
          <w:sz w:val="20"/>
        </w:rPr>
        <w:t xml:space="preserve">. In the </w:t>
      </w:r>
      <w:r>
        <w:rPr>
          <w:sz w:val="20"/>
        </w:rPr>
        <w:t>SL-CommResourcePoolV2X-r14</w:t>
      </w:r>
      <w:r>
        <w:rPr>
          <w:rFonts w:hint="eastAsia"/>
          <w:sz w:val="20"/>
        </w:rPr>
        <w:t xml:space="preserve">, tdd-config-r14 can be configured in </w:t>
      </w:r>
      <w:r w:rsidRPr="00D819C5">
        <w:t>rx</w:t>
      </w:r>
      <w:r>
        <w:t>ParametersNCell-r14</w:t>
      </w:r>
      <w:r>
        <w:rPr>
          <w:rFonts w:hint="eastAsia"/>
          <w:sz w:val="20"/>
        </w:rPr>
        <w:t xml:space="preserve"> for </w:t>
      </w:r>
      <w:r>
        <w:rPr>
          <w:bCs/>
          <w:sz w:val="20"/>
          <w:lang w:val="en-GB" w:eastAsia="en-GB"/>
        </w:rPr>
        <w:t xml:space="preserve">the </w:t>
      </w:r>
      <w:r>
        <w:rPr>
          <w:rFonts w:hint="eastAsia"/>
          <w:bCs/>
          <w:sz w:val="20"/>
        </w:rPr>
        <w:t xml:space="preserve">TDD </w:t>
      </w:r>
      <w:r>
        <w:rPr>
          <w:bCs/>
          <w:sz w:val="20"/>
          <w:lang w:val="en-GB" w:eastAsia="en-GB"/>
        </w:rPr>
        <w:t>duplex mode</w:t>
      </w:r>
      <w:r>
        <w:rPr>
          <w:rFonts w:hint="eastAsia"/>
          <w:bCs/>
          <w:sz w:val="20"/>
        </w:rPr>
        <w:t xml:space="preserve">, </w:t>
      </w:r>
      <w:r>
        <w:rPr>
          <w:rFonts w:hint="eastAsia"/>
          <w:bCs/>
        </w:rPr>
        <w:t>A</w:t>
      </w:r>
      <w:proofErr w:type="spellStart"/>
      <w:r>
        <w:rPr>
          <w:bCs/>
          <w:lang w:val="en-GB" w:eastAsia="en-GB"/>
        </w:rPr>
        <w:t>bsence</w:t>
      </w:r>
      <w:proofErr w:type="spellEnd"/>
      <w:r>
        <w:rPr>
          <w:bCs/>
          <w:lang w:val="en-GB" w:eastAsia="en-GB"/>
        </w:rPr>
        <w:t xml:space="preserve"> of the field </w:t>
      </w:r>
      <w:r w:rsidR="00934FAC">
        <w:rPr>
          <w:rFonts w:hint="eastAsia"/>
          <w:bCs/>
          <w:lang w:val="en-GB"/>
        </w:rPr>
        <w:t>implies</w:t>
      </w:r>
      <w:r>
        <w:rPr>
          <w:bCs/>
          <w:lang w:val="en-GB" w:eastAsia="en-GB"/>
        </w:rPr>
        <w:t xml:space="preserve"> that the duplex mode is FDD</w:t>
      </w:r>
      <w:r w:rsidR="003D7904" w:rsidRPr="003D7904">
        <w:rPr>
          <w:rFonts w:hint="eastAsia"/>
          <w:bCs/>
        </w:rPr>
        <w:t>[</w:t>
      </w:r>
      <w:r w:rsidRPr="003D7904">
        <w:rPr>
          <w:rFonts w:hint="eastAsia"/>
          <w:bCs/>
        </w:rPr>
        <w:t>1]</w:t>
      </w:r>
      <w:r w:rsidRPr="003D7904">
        <w:rPr>
          <w:rFonts w:hint="eastAsia"/>
          <w:bCs/>
          <w:sz w:val="20"/>
        </w:rPr>
        <w:t>.</w:t>
      </w:r>
      <w:r>
        <w:rPr>
          <w:rFonts w:hint="eastAsia"/>
          <w:bCs/>
          <w:sz w:val="20"/>
        </w:rPr>
        <w:t xml:space="preserve"> </w:t>
      </w:r>
      <w:r>
        <w:rPr>
          <w:rFonts w:hint="eastAsia"/>
          <w:bCs/>
          <w:sz w:val="20"/>
        </w:rPr>
        <w:t>It's up to network configuration to ensure the receive resource pool</w:t>
      </w:r>
      <w:r w:rsidR="00A12536">
        <w:rPr>
          <w:rFonts w:hint="eastAsia"/>
          <w:bCs/>
          <w:sz w:val="20"/>
        </w:rPr>
        <w:t xml:space="preserve">s </w:t>
      </w:r>
      <w:r>
        <w:rPr>
          <w:rFonts w:hint="eastAsia"/>
          <w:bCs/>
          <w:sz w:val="20"/>
        </w:rPr>
        <w:t>encompass the TDD configurations</w:t>
      </w:r>
      <w:r w:rsidR="009B5F22">
        <w:rPr>
          <w:rFonts w:hint="eastAsia"/>
          <w:bCs/>
          <w:sz w:val="20"/>
        </w:rPr>
        <w:t xml:space="preserve"> from both </w:t>
      </w:r>
      <w:proofErr w:type="spellStart"/>
      <w:r w:rsidR="009B5F22">
        <w:rPr>
          <w:rFonts w:hint="eastAsia"/>
          <w:bCs/>
          <w:sz w:val="20"/>
        </w:rPr>
        <w:t>InC</w:t>
      </w:r>
      <w:proofErr w:type="spellEnd"/>
      <w:r w:rsidR="009B5F22">
        <w:rPr>
          <w:rFonts w:hint="eastAsia"/>
          <w:bCs/>
          <w:sz w:val="20"/>
        </w:rPr>
        <w:t xml:space="preserve"> and </w:t>
      </w:r>
      <w:proofErr w:type="spellStart"/>
      <w:r w:rsidR="009B5F22">
        <w:rPr>
          <w:rFonts w:hint="eastAsia"/>
          <w:bCs/>
          <w:sz w:val="20"/>
        </w:rPr>
        <w:t>OoC</w:t>
      </w:r>
      <w:proofErr w:type="spellEnd"/>
      <w:r w:rsidR="0012084B">
        <w:rPr>
          <w:rFonts w:hint="eastAsia"/>
          <w:bCs/>
          <w:sz w:val="20"/>
        </w:rPr>
        <w:t xml:space="preserve"> UE.</w:t>
      </w:r>
    </w:p>
    <w:p w:rsidR="00A12536" w:rsidRDefault="00A12536" w:rsidP="00A12536">
      <w:pPr>
        <w:spacing w:before="120" w:after="120"/>
        <w:rPr>
          <w:sz w:val="20"/>
        </w:rPr>
      </w:pPr>
      <w:r>
        <w:rPr>
          <w:rFonts w:hint="eastAsia"/>
          <w:sz w:val="20"/>
        </w:rPr>
        <w:t xml:space="preserve">For </w:t>
      </w:r>
      <w:proofErr w:type="spellStart"/>
      <w:r>
        <w:rPr>
          <w:rFonts w:hint="eastAsia"/>
          <w:sz w:val="20"/>
        </w:rPr>
        <w:t>OoC</w:t>
      </w:r>
      <w:proofErr w:type="spellEnd"/>
      <w:r w:rsidR="00CB44A7">
        <w:rPr>
          <w:rFonts w:hint="eastAsia"/>
          <w:sz w:val="20"/>
        </w:rPr>
        <w:t>(Out-of-Coverage)</w:t>
      </w:r>
      <w:r>
        <w:rPr>
          <w:rFonts w:hint="eastAsia"/>
          <w:sz w:val="20"/>
        </w:rPr>
        <w:t xml:space="preserve"> UE, according to the ASN.1 text for LTE V2X, the receive resource pool is retrieved from </w:t>
      </w:r>
      <w:r>
        <w:rPr>
          <w:b/>
          <w:i/>
          <w:sz w:val="20"/>
        </w:rPr>
        <w:t>v2x-CommRxPoolList-r14</w:t>
      </w:r>
      <w:r>
        <w:rPr>
          <w:rFonts w:hint="eastAsia"/>
          <w:sz w:val="20"/>
        </w:rPr>
        <w:t xml:space="preserve"> in</w:t>
      </w:r>
      <w:r>
        <w:rPr>
          <w:rFonts w:hint="eastAsia"/>
          <w:b/>
          <w:i/>
          <w:sz w:val="20"/>
        </w:rPr>
        <w:t xml:space="preserve"> </w:t>
      </w:r>
      <w:r>
        <w:rPr>
          <w:b/>
          <w:i/>
          <w:sz w:val="20"/>
        </w:rPr>
        <w:t>SL-V2X-PreconfigFreqInfo-r14</w:t>
      </w:r>
      <w:r>
        <w:rPr>
          <w:rFonts w:hint="eastAsia"/>
          <w:sz w:val="20"/>
        </w:rPr>
        <w:t xml:space="preserve">. The </w:t>
      </w:r>
      <w:proofErr w:type="spellStart"/>
      <w:r>
        <w:rPr>
          <w:rFonts w:hint="eastAsia"/>
          <w:b/>
          <w:i/>
          <w:sz w:val="20"/>
        </w:rPr>
        <w:t>RxPoolList</w:t>
      </w:r>
      <w:proofErr w:type="spellEnd"/>
      <w:r>
        <w:rPr>
          <w:rFonts w:hint="eastAsia"/>
          <w:b/>
          <w:i/>
          <w:sz w:val="20"/>
        </w:rPr>
        <w:t xml:space="preserve"> </w:t>
      </w:r>
      <w:r>
        <w:rPr>
          <w:rFonts w:hint="eastAsia"/>
          <w:sz w:val="20"/>
        </w:rPr>
        <w:t xml:space="preserve">consists of </w:t>
      </w:r>
      <w:r>
        <w:rPr>
          <w:b/>
          <w:i/>
          <w:sz w:val="20"/>
        </w:rPr>
        <w:t>maxSL-V2X-RxPoolPreconf-r14</w:t>
      </w:r>
      <w:r>
        <w:rPr>
          <w:rFonts w:hint="eastAsia"/>
          <w:b/>
          <w:i/>
          <w:sz w:val="20"/>
        </w:rPr>
        <w:t xml:space="preserve"> =16</w:t>
      </w:r>
      <w:r>
        <w:rPr>
          <w:rFonts w:hint="eastAsia"/>
          <w:sz w:val="20"/>
        </w:rPr>
        <w:t xml:space="preserve"> receive resource pools configured by the IE </w:t>
      </w:r>
      <w:r>
        <w:rPr>
          <w:b/>
          <w:i/>
          <w:sz w:val="20"/>
        </w:rPr>
        <w:t>SL-V2X-PreconfigCommPool-r14</w:t>
      </w:r>
      <w:r>
        <w:rPr>
          <w:rFonts w:hint="eastAsia"/>
          <w:b/>
          <w:i/>
          <w:sz w:val="20"/>
        </w:rPr>
        <w:t>.</w:t>
      </w:r>
      <w:r>
        <w:rPr>
          <w:rFonts w:hint="eastAsia"/>
          <w:sz w:val="20"/>
        </w:rPr>
        <w:t xml:space="preserve"> To ensure communication of </w:t>
      </w:r>
      <w:proofErr w:type="spellStart"/>
      <w:r>
        <w:rPr>
          <w:rFonts w:hint="eastAsia"/>
          <w:sz w:val="20"/>
        </w:rPr>
        <w:t>InC</w:t>
      </w:r>
      <w:proofErr w:type="spellEnd"/>
      <w:r>
        <w:rPr>
          <w:rFonts w:hint="eastAsia"/>
          <w:sz w:val="20"/>
        </w:rPr>
        <w:t xml:space="preserve"> and </w:t>
      </w:r>
      <w:proofErr w:type="spellStart"/>
      <w:r>
        <w:rPr>
          <w:rFonts w:hint="eastAsia"/>
          <w:sz w:val="20"/>
        </w:rPr>
        <w:t>OoC</w:t>
      </w:r>
      <w:proofErr w:type="spellEnd"/>
      <w:r>
        <w:rPr>
          <w:rFonts w:hint="eastAsia"/>
          <w:sz w:val="20"/>
        </w:rPr>
        <w:t xml:space="preserve"> UE, the 16 Rx resource pools in the </w:t>
      </w:r>
      <w:proofErr w:type="spellStart"/>
      <w:r>
        <w:rPr>
          <w:rFonts w:hint="eastAsia"/>
          <w:b/>
          <w:i/>
          <w:sz w:val="20"/>
        </w:rPr>
        <w:t>RxPoolList</w:t>
      </w:r>
      <w:proofErr w:type="spellEnd"/>
      <w:r>
        <w:rPr>
          <w:rFonts w:hint="eastAsia"/>
          <w:b/>
          <w:i/>
          <w:sz w:val="20"/>
        </w:rPr>
        <w:t xml:space="preserve"> for </w:t>
      </w:r>
      <w:proofErr w:type="spellStart"/>
      <w:r>
        <w:rPr>
          <w:rFonts w:hint="eastAsia"/>
          <w:b/>
          <w:i/>
          <w:sz w:val="20"/>
        </w:rPr>
        <w:t>OoC</w:t>
      </w:r>
      <w:proofErr w:type="spellEnd"/>
      <w:r>
        <w:rPr>
          <w:rFonts w:hint="eastAsia"/>
          <w:b/>
          <w:i/>
          <w:sz w:val="20"/>
        </w:rPr>
        <w:t xml:space="preserve"> UE </w:t>
      </w:r>
      <w:r>
        <w:rPr>
          <w:rFonts w:hint="eastAsia"/>
          <w:sz w:val="20"/>
        </w:rPr>
        <w:t xml:space="preserve">should encompass the transmitted/received </w:t>
      </w:r>
      <w:proofErr w:type="spellStart"/>
      <w:r>
        <w:rPr>
          <w:b/>
          <w:i/>
          <w:sz w:val="20"/>
        </w:rPr>
        <w:t>subframeAssignmentSL</w:t>
      </w:r>
      <w:proofErr w:type="spellEnd"/>
      <w:r>
        <w:rPr>
          <w:rFonts w:hint="eastAsia"/>
          <w:b/>
          <w:i/>
          <w:sz w:val="20"/>
        </w:rPr>
        <w:t xml:space="preserve"> </w:t>
      </w:r>
      <w:r>
        <w:rPr>
          <w:rFonts w:hint="eastAsia"/>
          <w:sz w:val="20"/>
        </w:rPr>
        <w:t>in PSBCH</w:t>
      </w:r>
      <w:r>
        <w:rPr>
          <w:rFonts w:hint="eastAsia"/>
          <w:sz w:val="20"/>
        </w:rPr>
        <w:t xml:space="preserve"> </w:t>
      </w:r>
      <w:r>
        <w:rPr>
          <w:rFonts w:hint="eastAsia"/>
          <w:sz w:val="20"/>
        </w:rPr>
        <w:t>which could be derived from either of the following:</w:t>
      </w:r>
    </w:p>
    <w:p w:rsidR="00A12536" w:rsidRDefault="00A12536" w:rsidP="00A12536">
      <w:pPr>
        <w:pStyle w:val="a5"/>
        <w:numPr>
          <w:ilvl w:val="0"/>
          <w:numId w:val="12"/>
        </w:numPr>
        <w:spacing w:before="120" w:after="120"/>
        <w:rPr>
          <w:rFonts w:eastAsia="宋体"/>
          <w:sz w:val="20"/>
          <w:szCs w:val="20"/>
        </w:rPr>
      </w:pPr>
      <w:r>
        <w:rPr>
          <w:rFonts w:eastAsia="宋体"/>
          <w:b/>
          <w:i/>
          <w:sz w:val="20"/>
          <w:szCs w:val="20"/>
        </w:rPr>
        <w:t xml:space="preserve">v2x-CommPreconfigGeneral </w:t>
      </w:r>
      <w:r>
        <w:rPr>
          <w:rFonts w:eastAsia="宋体"/>
          <w:sz w:val="20"/>
          <w:szCs w:val="20"/>
        </w:rPr>
        <w:t>in</w:t>
      </w:r>
      <w:r>
        <w:rPr>
          <w:sz w:val="20"/>
          <w:szCs w:val="20"/>
        </w:rPr>
        <w:t xml:space="preserve"> </w:t>
      </w:r>
      <w:r>
        <w:rPr>
          <w:rFonts w:eastAsia="宋体"/>
          <w:b/>
          <w:i/>
          <w:sz w:val="20"/>
          <w:szCs w:val="20"/>
        </w:rPr>
        <w:t>SL-V2X-Preconfiguration</w:t>
      </w:r>
      <w:r>
        <w:rPr>
          <w:rFonts w:eastAsia="宋体" w:hint="eastAsia"/>
          <w:sz w:val="20"/>
          <w:szCs w:val="20"/>
        </w:rPr>
        <w:t xml:space="preserve"> (Potential </w:t>
      </w:r>
      <w:proofErr w:type="spellStart"/>
      <w:r>
        <w:rPr>
          <w:rFonts w:eastAsia="宋体" w:hint="eastAsia"/>
          <w:sz w:val="20"/>
          <w:szCs w:val="20"/>
        </w:rPr>
        <w:t>Tx</w:t>
      </w:r>
      <w:proofErr w:type="spellEnd"/>
      <w:r>
        <w:rPr>
          <w:rFonts w:eastAsia="宋体" w:hint="eastAsia"/>
          <w:sz w:val="20"/>
          <w:szCs w:val="20"/>
        </w:rPr>
        <w:t xml:space="preserve"> resource pool(s) of </w:t>
      </w:r>
      <w:proofErr w:type="spellStart"/>
      <w:r>
        <w:rPr>
          <w:rFonts w:eastAsia="宋体" w:hint="eastAsia"/>
          <w:sz w:val="20"/>
          <w:szCs w:val="20"/>
        </w:rPr>
        <w:t>OoC</w:t>
      </w:r>
      <w:proofErr w:type="spellEnd"/>
      <w:r>
        <w:rPr>
          <w:rFonts w:eastAsia="宋体" w:hint="eastAsia"/>
          <w:sz w:val="20"/>
          <w:szCs w:val="20"/>
        </w:rPr>
        <w:t xml:space="preserve"> UE)</w:t>
      </w:r>
    </w:p>
    <w:p w:rsidR="00A12536" w:rsidRDefault="00A12536" w:rsidP="00A12536">
      <w:pPr>
        <w:pStyle w:val="a5"/>
        <w:numPr>
          <w:ilvl w:val="0"/>
          <w:numId w:val="12"/>
        </w:numPr>
        <w:spacing w:before="120" w:after="120"/>
        <w:rPr>
          <w:sz w:val="20"/>
          <w:szCs w:val="20"/>
        </w:rPr>
      </w:pPr>
      <w:r>
        <w:rPr>
          <w:rFonts w:eastAsia="宋体"/>
          <w:sz w:val="20"/>
          <w:szCs w:val="20"/>
        </w:rPr>
        <w:t xml:space="preserve">the value representing the same meaning as of </w:t>
      </w:r>
      <w:proofErr w:type="spellStart"/>
      <w:r>
        <w:rPr>
          <w:rFonts w:eastAsia="宋体"/>
          <w:b/>
          <w:i/>
          <w:sz w:val="20"/>
          <w:szCs w:val="20"/>
        </w:rPr>
        <w:t>subframeAssignment</w:t>
      </w:r>
      <w:proofErr w:type="spellEnd"/>
      <w:r>
        <w:rPr>
          <w:i/>
          <w:iCs/>
          <w:sz w:val="20"/>
          <w:szCs w:val="20"/>
        </w:rPr>
        <w:t xml:space="preserve"> </w:t>
      </w:r>
      <w:r>
        <w:rPr>
          <w:rFonts w:eastAsia="宋体"/>
          <w:sz w:val="20"/>
          <w:szCs w:val="20"/>
        </w:rPr>
        <w:t>that is included in</w:t>
      </w:r>
      <w:r>
        <w:rPr>
          <w:i/>
          <w:iCs/>
          <w:sz w:val="20"/>
          <w:szCs w:val="20"/>
        </w:rPr>
        <w:t xml:space="preserve"> </w:t>
      </w:r>
      <w:proofErr w:type="spellStart"/>
      <w:r>
        <w:rPr>
          <w:rFonts w:eastAsia="宋体"/>
          <w:b/>
          <w:i/>
          <w:sz w:val="20"/>
          <w:szCs w:val="20"/>
        </w:rPr>
        <w:t>tdd-Config</w:t>
      </w:r>
      <w:proofErr w:type="spellEnd"/>
      <w:r>
        <w:rPr>
          <w:rFonts w:eastAsia="宋体"/>
          <w:b/>
          <w:i/>
          <w:sz w:val="20"/>
          <w:szCs w:val="20"/>
        </w:rPr>
        <w:t xml:space="preserve"> </w:t>
      </w:r>
      <w:r>
        <w:rPr>
          <w:rFonts w:eastAsia="宋体"/>
          <w:sz w:val="20"/>
          <w:szCs w:val="20"/>
        </w:rPr>
        <w:t>in the received SystemInformationBlockType1</w:t>
      </w:r>
      <w:r>
        <w:rPr>
          <w:rFonts w:eastAsia="宋体" w:hint="eastAsia"/>
          <w:sz w:val="20"/>
          <w:szCs w:val="20"/>
        </w:rPr>
        <w:t xml:space="preserve"> . (Potential </w:t>
      </w:r>
      <w:proofErr w:type="spellStart"/>
      <w:r>
        <w:rPr>
          <w:rFonts w:eastAsia="宋体" w:hint="eastAsia"/>
          <w:sz w:val="20"/>
          <w:szCs w:val="20"/>
        </w:rPr>
        <w:t>Tx</w:t>
      </w:r>
      <w:proofErr w:type="spellEnd"/>
      <w:r>
        <w:rPr>
          <w:rFonts w:eastAsia="宋体" w:hint="eastAsia"/>
          <w:sz w:val="20"/>
          <w:szCs w:val="20"/>
        </w:rPr>
        <w:t xml:space="preserve"> resource pool(s) of </w:t>
      </w:r>
      <w:proofErr w:type="spellStart"/>
      <w:r>
        <w:rPr>
          <w:rFonts w:eastAsia="宋体" w:hint="eastAsia"/>
          <w:sz w:val="20"/>
          <w:szCs w:val="20"/>
        </w:rPr>
        <w:t>InC</w:t>
      </w:r>
      <w:proofErr w:type="spellEnd"/>
      <w:r>
        <w:rPr>
          <w:rFonts w:eastAsia="宋体" w:hint="eastAsia"/>
          <w:sz w:val="20"/>
          <w:szCs w:val="20"/>
        </w:rPr>
        <w:t xml:space="preserve"> UE)</w:t>
      </w:r>
    </w:p>
    <w:p w:rsidR="00A12536" w:rsidRDefault="00A12536" w:rsidP="00A12536">
      <w:pPr>
        <w:spacing w:before="120" w:after="120"/>
        <w:rPr>
          <w:sz w:val="20"/>
        </w:rPr>
      </w:pPr>
      <w:r>
        <w:rPr>
          <w:rFonts w:hint="eastAsia"/>
          <w:sz w:val="20"/>
        </w:rPr>
        <w:t xml:space="preserve">The note under </w:t>
      </w:r>
      <w:r>
        <w:rPr>
          <w:b/>
          <w:i/>
          <w:sz w:val="20"/>
        </w:rPr>
        <w:t>SL-V2X-PreconfigCommPool-r14</w:t>
      </w:r>
      <w:r>
        <w:rPr>
          <w:rFonts w:hint="eastAsia"/>
          <w:b/>
          <w:i/>
          <w:sz w:val="20"/>
        </w:rPr>
        <w:t xml:space="preserve"> </w:t>
      </w:r>
      <w:r>
        <w:rPr>
          <w:rFonts w:hint="eastAsia"/>
          <w:sz w:val="20"/>
        </w:rPr>
        <w:t>'</w:t>
      </w:r>
      <w:r w:rsidRPr="00910BB0">
        <w:rPr>
          <w:sz w:val="20"/>
          <w:u w:val="single"/>
        </w:rPr>
        <w:t xml:space="preserve">This IE is same as SL-CommResourcePoolV2X with </w:t>
      </w:r>
      <w:proofErr w:type="spellStart"/>
      <w:r w:rsidRPr="00910BB0">
        <w:rPr>
          <w:sz w:val="20"/>
          <w:u w:val="single"/>
        </w:rPr>
        <w:t>rxParametersNCell</w:t>
      </w:r>
      <w:proofErr w:type="spellEnd"/>
      <w:r w:rsidRPr="00910BB0">
        <w:rPr>
          <w:sz w:val="20"/>
          <w:u w:val="single"/>
        </w:rPr>
        <w:t xml:space="preserve"> absen</w:t>
      </w:r>
      <w:r w:rsidRPr="00910BB0">
        <w:rPr>
          <w:rFonts w:hint="eastAsia"/>
          <w:sz w:val="20"/>
          <w:u w:val="single"/>
        </w:rPr>
        <w:t>t'</w:t>
      </w:r>
      <w:r>
        <w:rPr>
          <w:rFonts w:hint="eastAsia"/>
          <w:sz w:val="20"/>
        </w:rPr>
        <w:t xml:space="preserve"> indicates the TDD configurations of the neighboring cells are not included therein. This is reasonable and </w:t>
      </w:r>
      <w:r w:rsidR="0036240E">
        <w:rPr>
          <w:rFonts w:hint="eastAsia"/>
          <w:sz w:val="20"/>
        </w:rPr>
        <w:t>feasible</w:t>
      </w:r>
      <w:r>
        <w:rPr>
          <w:rFonts w:hint="eastAsia"/>
          <w:sz w:val="20"/>
        </w:rPr>
        <w:t xml:space="preserve"> considering:</w:t>
      </w:r>
    </w:p>
    <w:p w:rsidR="00A12536" w:rsidRDefault="00A12536" w:rsidP="00A12536">
      <w:pPr>
        <w:spacing w:before="120" w:after="120"/>
        <w:rPr>
          <w:b/>
          <w:i/>
          <w:iCs/>
          <w:color w:val="000000"/>
          <w:kern w:val="0"/>
          <w:sz w:val="20"/>
          <w:u w:val="single"/>
        </w:rPr>
      </w:pPr>
      <w:r>
        <w:rPr>
          <w:rFonts w:hint="eastAsia"/>
          <w:sz w:val="20"/>
        </w:rPr>
        <w:lastRenderedPageBreak/>
        <w:t xml:space="preserve">1. Given a total of 16 Rx resource pools budget which should take into account both bitmap and TDD configurations, the TDD configurations of the (neighboring) serving cells, if required to be included in </w:t>
      </w:r>
      <w:r>
        <w:rPr>
          <w:b/>
          <w:i/>
          <w:sz w:val="20"/>
        </w:rPr>
        <w:t>SL-V2X-PreconfigCommPool-r14</w:t>
      </w:r>
      <w:r>
        <w:rPr>
          <w:rFonts w:hint="eastAsia"/>
          <w:sz w:val="20"/>
        </w:rPr>
        <w:t xml:space="preserve"> as preconfigured</w:t>
      </w:r>
      <w:r w:rsidR="00910BB0">
        <w:rPr>
          <w:rFonts w:hint="eastAsia"/>
          <w:sz w:val="20"/>
        </w:rPr>
        <w:t xml:space="preserve"> receive resource pools </w:t>
      </w:r>
      <w:r w:rsidR="00133598">
        <w:rPr>
          <w:rFonts w:hint="eastAsia"/>
          <w:sz w:val="20"/>
        </w:rPr>
        <w:t>within</w:t>
      </w:r>
      <w:r w:rsidR="00910BB0">
        <w:rPr>
          <w:rFonts w:hint="eastAsia"/>
          <w:sz w:val="20"/>
        </w:rPr>
        <w:t xml:space="preserve"> </w:t>
      </w:r>
      <w:proofErr w:type="spellStart"/>
      <w:r w:rsidR="00190BDA">
        <w:rPr>
          <w:rFonts w:hint="eastAsia"/>
          <w:b/>
          <w:i/>
          <w:sz w:val="20"/>
        </w:rPr>
        <w:t>RxPoolList</w:t>
      </w:r>
      <w:proofErr w:type="spellEnd"/>
      <w:r>
        <w:rPr>
          <w:rFonts w:hint="eastAsia"/>
          <w:sz w:val="20"/>
        </w:rPr>
        <w:t xml:space="preserve">, would limit </w:t>
      </w:r>
      <w:proofErr w:type="spellStart"/>
      <w:r>
        <w:rPr>
          <w:b/>
          <w:i/>
          <w:iCs/>
          <w:color w:val="000000"/>
          <w:kern w:val="0"/>
          <w:sz w:val="20"/>
        </w:rPr>
        <w:t>rxPa</w:t>
      </w:r>
      <w:r>
        <w:rPr>
          <w:b/>
          <w:i/>
          <w:sz w:val="20"/>
        </w:rPr>
        <w:t>rametersNC</w:t>
      </w:r>
      <w:r>
        <w:rPr>
          <w:b/>
          <w:i/>
          <w:iCs/>
          <w:color w:val="000000"/>
          <w:kern w:val="0"/>
          <w:sz w:val="20"/>
        </w:rPr>
        <w:t>ell</w:t>
      </w:r>
      <w:proofErr w:type="spellEnd"/>
      <w:r>
        <w:rPr>
          <w:rFonts w:hint="eastAsia"/>
          <w:iCs/>
          <w:color w:val="000000"/>
          <w:kern w:val="0"/>
          <w:sz w:val="20"/>
        </w:rPr>
        <w:t xml:space="preserve"> </w:t>
      </w:r>
      <w:r>
        <w:rPr>
          <w:rFonts w:hint="eastAsia"/>
          <w:sz w:val="20"/>
        </w:rPr>
        <w:t xml:space="preserve">to be within the range as the preconfigured. </w:t>
      </w:r>
    </w:p>
    <w:p w:rsidR="00A12536" w:rsidRDefault="00A12536" w:rsidP="00A12536">
      <w:pPr>
        <w:spacing w:before="120" w:after="120"/>
        <w:rPr>
          <w:rFonts w:hint="eastAsia"/>
          <w:sz w:val="20"/>
        </w:rPr>
      </w:pPr>
      <w:r>
        <w:rPr>
          <w:rFonts w:hint="eastAsia"/>
          <w:iCs/>
          <w:color w:val="000000"/>
          <w:kern w:val="0"/>
          <w:sz w:val="20"/>
        </w:rPr>
        <w:t xml:space="preserve">2. </w:t>
      </w:r>
      <w:r>
        <w:rPr>
          <w:rFonts w:hint="eastAsia"/>
          <w:sz w:val="20"/>
        </w:rPr>
        <w:t xml:space="preserve">Once a TDD configuration of a serving cell is set, this configuration would be transmitted via the PSBCH of the </w:t>
      </w:r>
      <w:proofErr w:type="spellStart"/>
      <w:r>
        <w:rPr>
          <w:rFonts w:hint="eastAsia"/>
          <w:sz w:val="20"/>
        </w:rPr>
        <w:t>InC</w:t>
      </w:r>
      <w:proofErr w:type="spellEnd"/>
      <w:r>
        <w:rPr>
          <w:rFonts w:hint="eastAsia"/>
          <w:sz w:val="20"/>
        </w:rPr>
        <w:t xml:space="preserve"> UE following the procedure elaborated as follows.</w:t>
      </w:r>
    </w:p>
    <w:p w:rsidR="001C3599" w:rsidRDefault="001C3599" w:rsidP="00A12536">
      <w:pPr>
        <w:spacing w:before="120" w:after="120"/>
        <w:rPr>
          <w:sz w:val="20"/>
        </w:rPr>
      </w:pPr>
      <w:r>
        <w:rPr>
          <w:noProof/>
          <w:sz w:val="20"/>
        </w:rPr>
      </w:r>
      <w:r>
        <w:rPr>
          <w:sz w:val="20"/>
        </w:rPr>
        <w:pict>
          <v:shape id="_x0000_s1032" type="#_x0000_t202" style="width:479.15pt;height:130.9pt;mso-position-horizontal-relative:char;mso-position-vertical-relative:line;mso-width-relative:margin;mso-height-relative:margin">
            <v:textbox>
              <w:txbxContent>
                <w:p w:rsidR="001C3599" w:rsidRDefault="001C3599" w:rsidP="001C3599">
                  <w:pPr>
                    <w:pStyle w:val="B1"/>
                    <w:spacing w:before="120" w:after="120"/>
                    <w:rPr>
                      <w:sz w:val="20"/>
                    </w:rPr>
                  </w:pPr>
                  <w:r>
                    <w:rPr>
                      <w:sz w:val="20"/>
                    </w:rPr>
                    <w:t>1&gt;</w:t>
                  </w:r>
                  <w:r>
                    <w:rPr>
                      <w:sz w:val="20"/>
                    </w:rPr>
                    <w:tab/>
                    <w:t xml:space="preserve">if </w:t>
                  </w:r>
                  <w:r>
                    <w:rPr>
                      <w:sz w:val="20"/>
                      <w:highlight w:val="cyan"/>
                    </w:rPr>
                    <w:t>in coverage</w:t>
                  </w:r>
                  <w:r>
                    <w:rPr>
                      <w:sz w:val="20"/>
                    </w:rPr>
                    <w:t xml:space="preserve"> on the frequency used for the </w:t>
                  </w:r>
                  <w:proofErr w:type="spellStart"/>
                  <w:r>
                    <w:rPr>
                      <w:sz w:val="20"/>
                    </w:rPr>
                    <w:t>sidelink</w:t>
                  </w:r>
                  <w:proofErr w:type="spellEnd"/>
                  <w:r>
                    <w:rPr>
                      <w:sz w:val="20"/>
                    </w:rPr>
                    <w:t xml:space="preserve"> operation that triggered this procedure as defined in TS 36.304 [4], clause 11.4:</w:t>
                  </w:r>
                </w:p>
                <w:p w:rsidR="001C3599" w:rsidRDefault="001C3599" w:rsidP="001C3599">
                  <w:pPr>
                    <w:pStyle w:val="B2"/>
                    <w:spacing w:before="120" w:after="120"/>
                    <w:rPr>
                      <w:sz w:val="20"/>
                    </w:rPr>
                  </w:pPr>
                  <w:r>
                    <w:rPr>
                      <w:sz w:val="20"/>
                    </w:rPr>
                    <w:t>2&gt;</w:t>
                  </w:r>
                  <w:r>
                    <w:rPr>
                      <w:sz w:val="20"/>
                    </w:rPr>
                    <w:tab/>
                    <w:t xml:space="preserve">set </w:t>
                  </w:r>
                  <w:proofErr w:type="spellStart"/>
                  <w:r>
                    <w:rPr>
                      <w:i/>
                      <w:iCs/>
                      <w:sz w:val="20"/>
                    </w:rPr>
                    <w:t>inCoverage</w:t>
                  </w:r>
                  <w:proofErr w:type="spellEnd"/>
                  <w:r>
                    <w:rPr>
                      <w:sz w:val="20"/>
                    </w:rPr>
                    <w:t xml:space="preserve"> to </w:t>
                  </w:r>
                  <w:r>
                    <w:rPr>
                      <w:i/>
                      <w:iCs/>
                      <w:sz w:val="20"/>
                    </w:rPr>
                    <w:t>TRUE</w:t>
                  </w:r>
                  <w:r>
                    <w:rPr>
                      <w:sz w:val="20"/>
                    </w:rPr>
                    <w:t>;</w:t>
                  </w:r>
                </w:p>
                <w:p w:rsidR="001C3599" w:rsidRDefault="001C3599" w:rsidP="001C3599">
                  <w:pPr>
                    <w:pStyle w:val="B2"/>
                    <w:spacing w:before="120" w:after="120"/>
                    <w:rPr>
                      <w:sz w:val="20"/>
                    </w:rPr>
                  </w:pPr>
                  <w:r>
                    <w:rPr>
                      <w:sz w:val="20"/>
                    </w:rPr>
                    <w:t>2&gt;</w:t>
                  </w:r>
                  <w:r>
                    <w:rPr>
                      <w:sz w:val="20"/>
                    </w:rPr>
                    <w:tab/>
                    <w:t xml:space="preserve">set </w:t>
                  </w:r>
                  <w:proofErr w:type="spellStart"/>
                  <w:r>
                    <w:rPr>
                      <w:i/>
                      <w:iCs/>
                      <w:sz w:val="20"/>
                    </w:rPr>
                    <w:t>sl</w:t>
                  </w:r>
                  <w:proofErr w:type="spellEnd"/>
                  <w:r>
                    <w:rPr>
                      <w:i/>
                      <w:iCs/>
                      <w:sz w:val="20"/>
                    </w:rPr>
                    <w:t>-Bandwidth</w:t>
                  </w:r>
                  <w:r>
                    <w:rPr>
                      <w:sz w:val="20"/>
                    </w:rPr>
                    <w:t xml:space="preserve"> to the value of </w:t>
                  </w:r>
                  <w:proofErr w:type="spellStart"/>
                  <w:r>
                    <w:rPr>
                      <w:i/>
                      <w:iCs/>
                      <w:sz w:val="20"/>
                    </w:rPr>
                    <w:t>ul</w:t>
                  </w:r>
                  <w:proofErr w:type="spellEnd"/>
                  <w:r>
                    <w:rPr>
                      <w:i/>
                      <w:iCs/>
                      <w:sz w:val="20"/>
                    </w:rPr>
                    <w:t>-Bandwidth</w:t>
                  </w:r>
                  <w:r>
                    <w:rPr>
                      <w:sz w:val="20"/>
                    </w:rPr>
                    <w:t xml:space="preserve"> as included in the received </w:t>
                  </w:r>
                  <w:r>
                    <w:rPr>
                      <w:i/>
                      <w:iCs/>
                      <w:sz w:val="20"/>
                    </w:rPr>
                    <w:t>SystemInformationBlockType2</w:t>
                  </w:r>
                  <w:r>
                    <w:rPr>
                      <w:sz w:val="20"/>
                    </w:rPr>
                    <w:t xml:space="preserve"> of the cell chosen for the concerned </w:t>
                  </w:r>
                  <w:proofErr w:type="spellStart"/>
                  <w:r>
                    <w:rPr>
                      <w:sz w:val="20"/>
                    </w:rPr>
                    <w:t>sidelink</w:t>
                  </w:r>
                  <w:proofErr w:type="spellEnd"/>
                  <w:r>
                    <w:rPr>
                      <w:sz w:val="20"/>
                    </w:rPr>
                    <w:t xml:space="preserve"> operation;</w:t>
                  </w:r>
                </w:p>
                <w:p w:rsidR="001C3599" w:rsidRDefault="001C3599" w:rsidP="001C3599">
                  <w:pPr>
                    <w:pStyle w:val="B2"/>
                    <w:spacing w:before="120" w:after="120"/>
                    <w:rPr>
                      <w:sz w:val="20"/>
                    </w:rPr>
                  </w:pPr>
                  <w:r>
                    <w:rPr>
                      <w:sz w:val="20"/>
                      <w:highlight w:val="cyan"/>
                    </w:rPr>
                    <w:t>2</w:t>
                  </w:r>
                  <w:r>
                    <w:rPr>
                      <w:sz w:val="20"/>
                    </w:rPr>
                    <w:t>&gt;</w:t>
                  </w:r>
                  <w:r>
                    <w:rPr>
                      <w:sz w:val="20"/>
                    </w:rPr>
                    <w:tab/>
                    <w:t xml:space="preserve">if </w:t>
                  </w:r>
                  <w:proofErr w:type="spellStart"/>
                  <w:r>
                    <w:rPr>
                      <w:i/>
                      <w:iCs/>
                      <w:sz w:val="20"/>
                    </w:rPr>
                    <w:t>tdd-Config</w:t>
                  </w:r>
                  <w:proofErr w:type="spellEnd"/>
                  <w:r>
                    <w:rPr>
                      <w:sz w:val="20"/>
                    </w:rPr>
                    <w:t xml:space="preserve"> is included in the received </w:t>
                  </w:r>
                  <w:r>
                    <w:rPr>
                      <w:i/>
                      <w:iCs/>
                      <w:sz w:val="20"/>
                    </w:rPr>
                    <w:t>SystemInformationBlockType1</w:t>
                  </w:r>
                  <w:r>
                    <w:rPr>
                      <w:sz w:val="20"/>
                    </w:rPr>
                    <w:t>:</w:t>
                  </w:r>
                </w:p>
                <w:p w:rsidR="001C3599" w:rsidRDefault="001C3599" w:rsidP="001C3599">
                  <w:pPr>
                    <w:pStyle w:val="B3"/>
                    <w:spacing w:before="120" w:after="120"/>
                    <w:rPr>
                      <w:sz w:val="20"/>
                    </w:rPr>
                  </w:pPr>
                  <w:r>
                    <w:rPr>
                      <w:sz w:val="20"/>
                    </w:rPr>
                    <w:t>3&gt;</w:t>
                  </w:r>
                  <w:r>
                    <w:rPr>
                      <w:sz w:val="20"/>
                    </w:rPr>
                    <w:tab/>
                  </w:r>
                  <w:r>
                    <w:rPr>
                      <w:sz w:val="20"/>
                      <w:highlight w:val="cyan"/>
                    </w:rPr>
                    <w:t xml:space="preserve">set </w:t>
                  </w:r>
                  <w:proofErr w:type="spellStart"/>
                  <w:r>
                    <w:rPr>
                      <w:i/>
                      <w:iCs/>
                      <w:sz w:val="20"/>
                      <w:highlight w:val="cyan"/>
                    </w:rPr>
                    <w:t>subframeAssignmentSL</w:t>
                  </w:r>
                  <w:proofErr w:type="spellEnd"/>
                  <w:r>
                    <w:rPr>
                      <w:sz w:val="20"/>
                      <w:highlight w:val="cyan"/>
                    </w:rPr>
                    <w:t xml:space="preserve"> to the value representing the same meaning as of </w:t>
                  </w:r>
                  <w:proofErr w:type="spellStart"/>
                  <w:r>
                    <w:rPr>
                      <w:sz w:val="20"/>
                      <w:highlight w:val="cyan"/>
                    </w:rPr>
                    <w:t>s</w:t>
                  </w:r>
                  <w:r>
                    <w:rPr>
                      <w:i/>
                      <w:iCs/>
                      <w:sz w:val="20"/>
                      <w:highlight w:val="cyan"/>
                    </w:rPr>
                    <w:t>ubframeAssignment</w:t>
                  </w:r>
                  <w:proofErr w:type="spellEnd"/>
                  <w:r>
                    <w:rPr>
                      <w:sz w:val="20"/>
                      <w:highlight w:val="cyan"/>
                    </w:rPr>
                    <w:t xml:space="preserve"> that is included in </w:t>
                  </w:r>
                  <w:proofErr w:type="spellStart"/>
                  <w:r>
                    <w:rPr>
                      <w:i/>
                      <w:iCs/>
                      <w:sz w:val="20"/>
                      <w:highlight w:val="cyan"/>
                    </w:rPr>
                    <w:t>tdd-Config</w:t>
                  </w:r>
                  <w:proofErr w:type="spellEnd"/>
                  <w:r>
                    <w:rPr>
                      <w:sz w:val="20"/>
                      <w:highlight w:val="cyan"/>
                    </w:rPr>
                    <w:t xml:space="preserve"> in the received </w:t>
                  </w:r>
                  <w:r>
                    <w:rPr>
                      <w:i/>
                      <w:iCs/>
                      <w:sz w:val="20"/>
                      <w:highlight w:val="cyan"/>
                    </w:rPr>
                    <w:t>SystemInformationBlockType1</w:t>
                  </w:r>
                  <w:r>
                    <w:rPr>
                      <w:sz w:val="20"/>
                      <w:highlight w:val="cyan"/>
                    </w:rPr>
                    <w:t>;</w:t>
                  </w:r>
                </w:p>
                <w:p w:rsidR="001C3599" w:rsidRPr="001C3599" w:rsidRDefault="001C3599" w:rsidP="001C3599">
                  <w:pPr>
                    <w:spacing w:before="120" w:after="120"/>
                  </w:pPr>
                </w:p>
              </w:txbxContent>
            </v:textbox>
            <w10:wrap type="none"/>
            <w10:anchorlock/>
          </v:shape>
        </w:pict>
      </w:r>
    </w:p>
    <w:p w:rsidR="00CF0E70" w:rsidRPr="00CF0E70" w:rsidRDefault="00884220" w:rsidP="00CF0E70">
      <w:pPr>
        <w:spacing w:before="120" w:after="120"/>
        <w:rPr>
          <w:sz w:val="20"/>
        </w:rPr>
      </w:pPr>
      <w:r>
        <w:rPr>
          <w:rFonts w:hint="eastAsia"/>
          <w:sz w:val="20"/>
        </w:rPr>
        <w:t xml:space="preserve">In </w:t>
      </w:r>
      <w:r w:rsidR="00CF0E70" w:rsidRPr="00CF0E70">
        <w:rPr>
          <w:rFonts w:hint="eastAsia"/>
          <w:sz w:val="20"/>
        </w:rPr>
        <w:t xml:space="preserve">LTE V2X mechanism, </w:t>
      </w:r>
      <w:proofErr w:type="spellStart"/>
      <w:r w:rsidR="00CF0E70" w:rsidRPr="00CF0E70">
        <w:rPr>
          <w:rFonts w:hint="eastAsia"/>
          <w:sz w:val="20"/>
        </w:rPr>
        <w:t>eNB</w:t>
      </w:r>
      <w:proofErr w:type="spellEnd"/>
      <w:r w:rsidR="00CF0E70" w:rsidRPr="00CF0E70">
        <w:rPr>
          <w:rFonts w:hint="eastAsia"/>
          <w:sz w:val="20"/>
        </w:rPr>
        <w:t xml:space="preserve"> has fully flexibility to configure the </w:t>
      </w:r>
      <w:proofErr w:type="spellStart"/>
      <w:r w:rsidR="00CF0E70" w:rsidRPr="00CF0E70">
        <w:rPr>
          <w:rFonts w:hint="eastAsia"/>
          <w:sz w:val="20"/>
        </w:rPr>
        <w:t>tdd-config</w:t>
      </w:r>
      <w:proofErr w:type="spellEnd"/>
      <w:r w:rsidR="00CF0E70" w:rsidRPr="00CF0E70">
        <w:rPr>
          <w:rFonts w:hint="eastAsia"/>
          <w:sz w:val="20"/>
        </w:rPr>
        <w:t xml:space="preserve"> in SIB1, and the information of </w:t>
      </w:r>
      <w:proofErr w:type="spellStart"/>
      <w:r w:rsidR="00CF0E70" w:rsidRPr="00CD7167">
        <w:rPr>
          <w:sz w:val="20"/>
          <w:highlight w:val="cyan"/>
        </w:rPr>
        <w:t>subframeAssignmentSL</w:t>
      </w:r>
      <w:proofErr w:type="spellEnd"/>
      <w:r w:rsidR="00CF0E70" w:rsidRPr="00CF0E70">
        <w:rPr>
          <w:rFonts w:hint="eastAsia"/>
          <w:sz w:val="20"/>
        </w:rPr>
        <w:t xml:space="preserve"> can be transferred from in coverage UE to out of coverage UEs </w:t>
      </w:r>
      <w:r w:rsidR="00CF0E70" w:rsidRPr="00E26778">
        <w:rPr>
          <w:rFonts w:hint="eastAsia"/>
          <w:sz w:val="20"/>
        </w:rPr>
        <w:t xml:space="preserve">via PSBCH. For the </w:t>
      </w:r>
      <w:proofErr w:type="spellStart"/>
      <w:r w:rsidR="00CF0E70" w:rsidRPr="00E26778">
        <w:rPr>
          <w:rFonts w:hint="eastAsia"/>
          <w:sz w:val="20"/>
        </w:rPr>
        <w:t>OoC</w:t>
      </w:r>
      <w:proofErr w:type="spellEnd"/>
      <w:r w:rsidR="00CF0E70" w:rsidRPr="00E26778">
        <w:rPr>
          <w:rFonts w:hint="eastAsia"/>
          <w:sz w:val="20"/>
        </w:rPr>
        <w:t xml:space="preserve"> U</w:t>
      </w:r>
      <w:r w:rsidR="002E2429" w:rsidRPr="00E26778">
        <w:rPr>
          <w:rFonts w:hint="eastAsia"/>
          <w:sz w:val="20"/>
        </w:rPr>
        <w:t xml:space="preserve">E, based on the </w:t>
      </w:r>
      <w:proofErr w:type="spellStart"/>
      <w:r w:rsidR="002E2429" w:rsidRPr="00E26778">
        <w:rPr>
          <w:rFonts w:hint="eastAsia"/>
          <w:sz w:val="20"/>
        </w:rPr>
        <w:t>tdd-config</w:t>
      </w:r>
      <w:proofErr w:type="spellEnd"/>
      <w:r w:rsidR="002E2429" w:rsidRPr="00E26778">
        <w:rPr>
          <w:rFonts w:hint="eastAsia"/>
          <w:sz w:val="20"/>
        </w:rPr>
        <w:t xml:space="preserve"> rece</w:t>
      </w:r>
      <w:r w:rsidR="00CF0E70" w:rsidRPr="00E26778">
        <w:rPr>
          <w:rFonts w:hint="eastAsia"/>
          <w:sz w:val="20"/>
        </w:rPr>
        <w:t>i</w:t>
      </w:r>
      <w:r w:rsidR="002E2429" w:rsidRPr="00E26778">
        <w:rPr>
          <w:rFonts w:hint="eastAsia"/>
          <w:sz w:val="20"/>
        </w:rPr>
        <w:t>v</w:t>
      </w:r>
      <w:r w:rsidR="00CF0E70" w:rsidRPr="00E26778">
        <w:rPr>
          <w:rFonts w:hint="eastAsia"/>
          <w:sz w:val="20"/>
        </w:rPr>
        <w:t xml:space="preserve">ed in PSBCH, the UE can derive the receive resource pool which is consistent with the understanding of </w:t>
      </w:r>
      <w:proofErr w:type="spellStart"/>
      <w:r w:rsidR="00CF0E70" w:rsidRPr="00E26778">
        <w:rPr>
          <w:rFonts w:hint="eastAsia"/>
          <w:sz w:val="20"/>
        </w:rPr>
        <w:t>InC</w:t>
      </w:r>
      <w:proofErr w:type="spellEnd"/>
      <w:r w:rsidR="00CF0E70" w:rsidRPr="00E26778">
        <w:rPr>
          <w:rFonts w:hint="eastAsia"/>
          <w:sz w:val="20"/>
        </w:rPr>
        <w:t xml:space="preserve"> UEs. </w:t>
      </w:r>
      <w:r w:rsidR="00E26778">
        <w:rPr>
          <w:rFonts w:hint="eastAsia"/>
          <w:sz w:val="20"/>
        </w:rPr>
        <w:t>It's up to UE implementation to ensure the receive resource pools encompass the relevant TDD configurations.</w:t>
      </w:r>
    </w:p>
    <w:p w:rsidR="00CF0E70" w:rsidRDefault="00CF0E70" w:rsidP="00CF0E70">
      <w:pPr>
        <w:spacing w:before="120" w:after="120"/>
        <w:rPr>
          <w:b/>
          <w:bCs/>
          <w:i/>
          <w:iCs/>
          <w:sz w:val="20"/>
        </w:rPr>
      </w:pPr>
      <w:r>
        <w:rPr>
          <w:rFonts w:hint="eastAsia"/>
          <w:b/>
          <w:bCs/>
          <w:i/>
          <w:iCs/>
          <w:sz w:val="20"/>
        </w:rPr>
        <w:t>Observation 2: T</w:t>
      </w:r>
      <w:r w:rsidR="006D2FC5">
        <w:rPr>
          <w:rFonts w:hint="eastAsia"/>
          <w:b/>
          <w:bCs/>
          <w:i/>
          <w:iCs/>
          <w:sz w:val="20"/>
        </w:rPr>
        <w:t xml:space="preserve">aking the </w:t>
      </w:r>
      <w:proofErr w:type="spellStart"/>
      <w:r w:rsidR="006D2FC5">
        <w:rPr>
          <w:rFonts w:hint="eastAsia"/>
          <w:b/>
          <w:bCs/>
          <w:i/>
          <w:iCs/>
          <w:sz w:val="20"/>
        </w:rPr>
        <w:t>tdd-config</w:t>
      </w:r>
      <w:proofErr w:type="spellEnd"/>
      <w:r w:rsidR="006D2FC5">
        <w:rPr>
          <w:rFonts w:hint="eastAsia"/>
          <w:b/>
          <w:bCs/>
          <w:i/>
          <w:iCs/>
          <w:sz w:val="20"/>
        </w:rPr>
        <w:t xml:space="preserve"> in rec</w:t>
      </w:r>
      <w:r>
        <w:rPr>
          <w:rFonts w:hint="eastAsia"/>
          <w:b/>
          <w:bCs/>
          <w:i/>
          <w:iCs/>
          <w:sz w:val="20"/>
        </w:rPr>
        <w:t>eived PSBCH to determine receive resource pool is reasonable and flexible.</w:t>
      </w:r>
    </w:p>
    <w:p w:rsidR="003D3246" w:rsidRPr="001E1AA5" w:rsidRDefault="003D3246" w:rsidP="003D3246">
      <w:pPr>
        <w:spacing w:before="120" w:after="120"/>
        <w:rPr>
          <w:strike/>
        </w:rPr>
      </w:pPr>
      <w:r>
        <w:rPr>
          <w:rFonts w:hint="eastAsia"/>
        </w:rPr>
        <w:t xml:space="preserve">When it comes to NR V2X, the receive resource pools for </w:t>
      </w:r>
      <w:proofErr w:type="spellStart"/>
      <w:r>
        <w:rPr>
          <w:rFonts w:hint="eastAsia"/>
        </w:rPr>
        <w:t>OoC</w:t>
      </w:r>
      <w:proofErr w:type="spellEnd"/>
      <w:r>
        <w:rPr>
          <w:rFonts w:hint="eastAsia"/>
        </w:rPr>
        <w:t xml:space="preserve"> UE need to encompass all two bullets as well. The principle of the note still needs to be pursued given the vast flexibility of slot configuration in </w:t>
      </w:r>
      <w:r>
        <w:rPr>
          <w:b/>
          <w:i/>
        </w:rPr>
        <w:t>TDD-UL-DL-</w:t>
      </w:r>
      <w:proofErr w:type="spellStart"/>
      <w:r>
        <w:rPr>
          <w:b/>
          <w:i/>
        </w:rPr>
        <w:t>ConfigCommon</w:t>
      </w:r>
      <w:proofErr w:type="spellEnd"/>
      <w:r>
        <w:rPr>
          <w:rFonts w:hint="eastAsia"/>
          <w:b/>
          <w:i/>
        </w:rPr>
        <w:t xml:space="preserve">, </w:t>
      </w:r>
      <w:r>
        <w:rPr>
          <w:rFonts w:hint="eastAsia"/>
        </w:rPr>
        <w:t xml:space="preserve">e.g. up </w:t>
      </w:r>
      <w:r w:rsidRPr="00E36A13">
        <w:rPr>
          <w:rFonts w:hint="eastAsia"/>
        </w:rPr>
        <w:t xml:space="preserve">to 6400(80*80) </w:t>
      </w:r>
      <w:r>
        <w:rPr>
          <w:rFonts w:hint="eastAsia"/>
        </w:rPr>
        <w:t xml:space="preserve">configurations under 10ms+10ms dual pattern with 120kHz SCS case. If the </w:t>
      </w:r>
      <w:proofErr w:type="spellStart"/>
      <w:r>
        <w:rPr>
          <w:rFonts w:hint="eastAsia"/>
        </w:rPr>
        <w:t>tdd-config</w:t>
      </w:r>
      <w:proofErr w:type="spellEnd"/>
      <w:r>
        <w:rPr>
          <w:rFonts w:hint="eastAsia"/>
        </w:rPr>
        <w:t xml:space="preserve"> for deriving receive resource pool is configured per resource pool in </w:t>
      </w:r>
      <w:r>
        <w:rPr>
          <w:b/>
          <w:i/>
          <w:sz w:val="20"/>
        </w:rPr>
        <w:t>SL-V2X-PreconfigCommPool</w:t>
      </w:r>
      <w:r>
        <w:rPr>
          <w:rFonts w:hint="eastAsia"/>
          <w:b/>
          <w:i/>
          <w:sz w:val="20"/>
        </w:rPr>
        <w:t xml:space="preserve">, </w:t>
      </w:r>
      <w:r>
        <w:rPr>
          <w:rFonts w:hint="eastAsia"/>
        </w:rPr>
        <w:t xml:space="preserve">the restriction to </w:t>
      </w:r>
      <w:r w:rsidR="00B94965">
        <w:rPr>
          <w:rFonts w:hint="eastAsia"/>
        </w:rPr>
        <w:t>the</w:t>
      </w:r>
      <w:r w:rsidR="00FB3E31">
        <w:rPr>
          <w:rFonts w:hint="eastAsia"/>
        </w:rPr>
        <w:t xml:space="preserve"> subset of the</w:t>
      </w:r>
      <w:r>
        <w:rPr>
          <w:rFonts w:hint="eastAsia"/>
        </w:rPr>
        <w:t xml:space="preserve"> preconfigured TDD configurations in </w:t>
      </w:r>
      <w:proofErr w:type="spellStart"/>
      <w:r>
        <w:rPr>
          <w:rFonts w:hint="eastAsia"/>
          <w:b/>
          <w:i/>
          <w:szCs w:val="21"/>
        </w:rPr>
        <w:t>RxPoolList</w:t>
      </w:r>
      <w:proofErr w:type="spellEnd"/>
      <w:r>
        <w:rPr>
          <w:rFonts w:hint="eastAsia"/>
        </w:rPr>
        <w:t xml:space="preserve"> would be much more intolerabl</w:t>
      </w:r>
      <w:r w:rsidRPr="00E36A13">
        <w:rPr>
          <w:rFonts w:hint="eastAsia"/>
        </w:rPr>
        <w:t>e</w:t>
      </w:r>
      <w:r w:rsidR="00E36A13" w:rsidRPr="00E36A13">
        <w:rPr>
          <w:rFonts w:hint="eastAsia"/>
        </w:rPr>
        <w:t xml:space="preserve">. </w:t>
      </w:r>
    </w:p>
    <w:p w:rsidR="00386B29" w:rsidRPr="001E1AA5" w:rsidRDefault="00386B29" w:rsidP="00386B29">
      <w:pPr>
        <w:spacing w:before="120" w:after="120"/>
        <w:rPr>
          <w:iCs/>
          <w:color w:val="000000"/>
          <w:kern w:val="0"/>
          <w:sz w:val="20"/>
        </w:rPr>
      </w:pPr>
      <w:r w:rsidRPr="001E1AA5">
        <w:rPr>
          <w:iCs/>
          <w:color w:val="000000"/>
          <w:kern w:val="0"/>
          <w:sz w:val="20"/>
        </w:rPr>
        <w:t xml:space="preserve">With above, the following proposal is made, </w:t>
      </w:r>
    </w:p>
    <w:p w:rsidR="00386B29" w:rsidRPr="001E1AA5" w:rsidRDefault="00386B29" w:rsidP="00386B29">
      <w:pPr>
        <w:spacing w:before="120" w:after="120"/>
        <w:rPr>
          <w:b/>
          <w:i/>
          <w:iCs/>
          <w:color w:val="000000"/>
          <w:kern w:val="0"/>
          <w:sz w:val="20"/>
        </w:rPr>
      </w:pPr>
      <w:r w:rsidRPr="001E1AA5">
        <w:rPr>
          <w:b/>
          <w:i/>
          <w:iCs/>
          <w:color w:val="000000"/>
          <w:kern w:val="0"/>
          <w:sz w:val="20"/>
        </w:rPr>
        <w:t>Proposal 1 WA should be confirmed with the following note</w:t>
      </w:r>
    </w:p>
    <w:p w:rsidR="00386B29" w:rsidRPr="001E1AA5" w:rsidRDefault="00386B29" w:rsidP="00386B29">
      <w:pPr>
        <w:pStyle w:val="12"/>
        <w:numPr>
          <w:ilvl w:val="2"/>
          <w:numId w:val="10"/>
        </w:numPr>
        <w:rPr>
          <w:sz w:val="20"/>
          <w:szCs w:val="20"/>
        </w:rPr>
      </w:pPr>
      <w:r w:rsidRPr="001E1AA5">
        <w:rPr>
          <w:sz w:val="20"/>
          <w:szCs w:val="20"/>
        </w:rPr>
        <w:t xml:space="preserve">slots </w:t>
      </w:r>
      <w:r w:rsidRPr="001E1AA5">
        <w:rPr>
          <w:color w:val="FF0000"/>
          <w:sz w:val="20"/>
          <w:szCs w:val="20"/>
        </w:rPr>
        <w:t>in SL BWP</w:t>
      </w:r>
      <w:r w:rsidRPr="001E1AA5">
        <w:rPr>
          <w:sz w:val="20"/>
          <w:szCs w:val="20"/>
        </w:rPr>
        <w:t xml:space="preserve"> not having at least Y-</w:t>
      </w:r>
      <w:proofErr w:type="spellStart"/>
      <w:r w:rsidRPr="001E1AA5">
        <w:rPr>
          <w:sz w:val="20"/>
          <w:szCs w:val="20"/>
        </w:rPr>
        <w:t>th</w:t>
      </w:r>
      <w:proofErr w:type="spellEnd"/>
      <w:r w:rsidRPr="001E1AA5">
        <w:rPr>
          <w:sz w:val="20"/>
          <w:szCs w:val="20"/>
        </w:rPr>
        <w:t>, (Y+1)-</w:t>
      </w:r>
      <w:proofErr w:type="spellStart"/>
      <w:r w:rsidRPr="001E1AA5">
        <w:rPr>
          <w:sz w:val="20"/>
          <w:szCs w:val="20"/>
        </w:rPr>
        <w:t>th</w:t>
      </w:r>
      <w:proofErr w:type="spellEnd"/>
      <w:r w:rsidRPr="001E1AA5">
        <w:rPr>
          <w:sz w:val="20"/>
          <w:szCs w:val="20"/>
        </w:rPr>
        <w:t>, ....., (Y+X-1)-</w:t>
      </w:r>
      <w:proofErr w:type="spellStart"/>
      <w:r w:rsidRPr="001E1AA5">
        <w:rPr>
          <w:sz w:val="20"/>
          <w:szCs w:val="20"/>
        </w:rPr>
        <w:t>th</w:t>
      </w:r>
      <w:proofErr w:type="spellEnd"/>
      <w:r w:rsidRPr="001E1AA5">
        <w:rPr>
          <w:sz w:val="20"/>
          <w:szCs w:val="20"/>
        </w:rPr>
        <w:t xml:space="preserve"> symbols in a slot semi-statically for UL as indicated in TDD-UL-DL-</w:t>
      </w:r>
      <w:proofErr w:type="spellStart"/>
      <w:r w:rsidRPr="001E1AA5">
        <w:rPr>
          <w:sz w:val="20"/>
          <w:szCs w:val="20"/>
        </w:rPr>
        <w:t>ConfigCommon</w:t>
      </w:r>
      <w:proofErr w:type="spellEnd"/>
      <w:r w:rsidRPr="001E1AA5">
        <w:rPr>
          <w:sz w:val="20"/>
          <w:szCs w:val="20"/>
        </w:rPr>
        <w:t>, where</w:t>
      </w:r>
    </w:p>
    <w:p w:rsidR="00386B29" w:rsidRPr="001E1AA5" w:rsidRDefault="00386B29" w:rsidP="00386B29">
      <w:pPr>
        <w:pStyle w:val="12"/>
        <w:numPr>
          <w:ilvl w:val="3"/>
          <w:numId w:val="10"/>
        </w:numPr>
        <w:rPr>
          <w:sz w:val="20"/>
          <w:szCs w:val="20"/>
        </w:rPr>
      </w:pPr>
      <w:r w:rsidRPr="001E1AA5">
        <w:rPr>
          <w:sz w:val="20"/>
          <w:szCs w:val="20"/>
        </w:rPr>
        <w:t xml:space="preserve">X is </w:t>
      </w:r>
      <w:proofErr w:type="spellStart"/>
      <w:r w:rsidRPr="001E1AA5">
        <w:rPr>
          <w:sz w:val="20"/>
          <w:szCs w:val="20"/>
        </w:rPr>
        <w:t>sl-LengthSymbols</w:t>
      </w:r>
      <w:proofErr w:type="spellEnd"/>
    </w:p>
    <w:p w:rsidR="00386B29" w:rsidRPr="001E1AA5" w:rsidRDefault="00386B29" w:rsidP="00386B29">
      <w:pPr>
        <w:pStyle w:val="12"/>
        <w:numPr>
          <w:ilvl w:val="3"/>
          <w:numId w:val="10"/>
        </w:numPr>
        <w:rPr>
          <w:sz w:val="20"/>
          <w:szCs w:val="20"/>
        </w:rPr>
      </w:pPr>
      <w:r w:rsidRPr="001E1AA5">
        <w:rPr>
          <w:sz w:val="20"/>
          <w:szCs w:val="20"/>
        </w:rPr>
        <w:t xml:space="preserve">Y is </w:t>
      </w:r>
      <w:proofErr w:type="spellStart"/>
      <w:r w:rsidRPr="001E1AA5">
        <w:rPr>
          <w:sz w:val="20"/>
          <w:szCs w:val="20"/>
        </w:rPr>
        <w:t>sl-StartSymbol</w:t>
      </w:r>
      <w:proofErr w:type="spellEnd"/>
    </w:p>
    <w:p w:rsidR="00386B29" w:rsidRPr="00934FAC" w:rsidRDefault="00386B29" w:rsidP="00386B29">
      <w:pPr>
        <w:spacing w:before="120" w:after="120"/>
        <w:rPr>
          <w:i/>
          <w:color w:val="FF0000"/>
          <w:sz w:val="20"/>
        </w:rPr>
      </w:pPr>
      <w:r>
        <w:rPr>
          <w:rFonts w:hint="eastAsia"/>
          <w:b/>
          <w:color w:val="FF0000"/>
          <w:sz w:val="20"/>
        </w:rPr>
        <w:t>Note</w:t>
      </w:r>
      <w:r>
        <w:rPr>
          <w:rFonts w:hint="eastAsia"/>
          <w:color w:val="FF0000"/>
          <w:sz w:val="20"/>
        </w:rPr>
        <w:t xml:space="preserve">: </w:t>
      </w:r>
      <w:r>
        <w:rPr>
          <w:color w:val="FF0000"/>
          <w:sz w:val="20"/>
        </w:rPr>
        <w:t xml:space="preserve">The UL slot(s) derived by out of coverage UE from PSBCH should be aligned with that derived by in coverage UE from </w:t>
      </w:r>
      <w:r w:rsidRPr="00934FAC">
        <w:rPr>
          <w:i/>
          <w:color w:val="FF0000"/>
          <w:sz w:val="20"/>
        </w:rPr>
        <w:t>TDD-UL-DL-</w:t>
      </w:r>
      <w:proofErr w:type="spellStart"/>
      <w:r w:rsidRPr="00934FAC">
        <w:rPr>
          <w:i/>
          <w:color w:val="FF0000"/>
          <w:sz w:val="20"/>
        </w:rPr>
        <w:t>ConfigCommon</w:t>
      </w:r>
      <w:proofErr w:type="spellEnd"/>
    </w:p>
    <w:p w:rsidR="002235BB" w:rsidRDefault="0094489C" w:rsidP="00FA4EA6">
      <w:pPr>
        <w:pStyle w:val="1"/>
        <w:spacing w:before="120" w:after="120"/>
        <w:ind w:left="0"/>
        <w:rPr>
          <w:rFonts w:eastAsia="宋体" w:hint="eastAsia"/>
        </w:rPr>
      </w:pPr>
      <w:r>
        <w:rPr>
          <w:rFonts w:eastAsia="宋体" w:hint="eastAsia"/>
        </w:rPr>
        <w:t>Conclusion</w:t>
      </w:r>
    </w:p>
    <w:p w:rsidR="00D044E8" w:rsidRDefault="00D044E8" w:rsidP="00D044E8">
      <w:pPr>
        <w:pStyle w:val="YJ-Proposal"/>
        <w:numPr>
          <w:ilvl w:val="0"/>
          <w:numId w:val="0"/>
        </w:numPr>
        <w:spacing w:before="120" w:after="120"/>
        <w:rPr>
          <w:lang w:val="en-US" w:eastAsia="zh-CN"/>
        </w:rPr>
      </w:pPr>
      <w:r>
        <w:rPr>
          <w:rFonts w:hint="eastAsia"/>
          <w:lang w:val="en-US" w:eastAsia="zh-CN"/>
        </w:rPr>
        <w:t>Observation 1: The following clarification is needed in the WA.</w:t>
      </w:r>
    </w:p>
    <w:p w:rsidR="00D044E8" w:rsidRDefault="00D044E8" w:rsidP="00D044E8">
      <w:pPr>
        <w:pStyle w:val="12"/>
        <w:numPr>
          <w:ilvl w:val="2"/>
          <w:numId w:val="10"/>
        </w:numPr>
        <w:rPr>
          <w:b/>
          <w:bCs/>
          <w:i/>
          <w:iCs/>
          <w:sz w:val="20"/>
          <w:szCs w:val="20"/>
        </w:rPr>
      </w:pPr>
      <w:r>
        <w:rPr>
          <w:rStyle w:val="16"/>
          <w:b w:val="0"/>
          <w:bCs w:val="0"/>
          <w:i/>
          <w:iCs/>
          <w:sz w:val="20"/>
          <w:szCs w:val="20"/>
          <w:highlight w:val="darkYellow"/>
        </w:rPr>
        <w:t>(Working assumption)</w:t>
      </w:r>
      <w:r>
        <w:rPr>
          <w:b/>
          <w:bCs/>
          <w:i/>
          <w:iCs/>
          <w:sz w:val="20"/>
          <w:szCs w:val="20"/>
        </w:rPr>
        <w:t xml:space="preserve"> slots</w:t>
      </w:r>
      <w:r>
        <w:rPr>
          <w:rFonts w:hint="eastAsia"/>
          <w:b/>
          <w:bCs/>
          <w:i/>
          <w:iCs/>
          <w:color w:val="000000" w:themeColor="text1"/>
          <w:sz w:val="20"/>
          <w:szCs w:val="20"/>
        </w:rPr>
        <w:t xml:space="preserve"> </w:t>
      </w:r>
      <w:r>
        <w:rPr>
          <w:rFonts w:hint="eastAsia"/>
          <w:b/>
          <w:bCs/>
          <w:i/>
          <w:iCs/>
          <w:color w:val="FF0000"/>
          <w:sz w:val="20"/>
          <w:szCs w:val="20"/>
        </w:rPr>
        <w:t>in SL BWP</w:t>
      </w:r>
      <w:r>
        <w:rPr>
          <w:b/>
          <w:bCs/>
          <w:i/>
          <w:iCs/>
          <w:color w:val="FF0000"/>
          <w:sz w:val="20"/>
          <w:szCs w:val="20"/>
        </w:rPr>
        <w:t xml:space="preserve"> </w:t>
      </w:r>
      <w:r>
        <w:rPr>
          <w:b/>
          <w:bCs/>
          <w:i/>
          <w:iCs/>
          <w:sz w:val="20"/>
          <w:szCs w:val="20"/>
        </w:rPr>
        <w:t>not having at least Y-</w:t>
      </w:r>
      <w:proofErr w:type="spellStart"/>
      <w:r>
        <w:rPr>
          <w:b/>
          <w:bCs/>
          <w:i/>
          <w:iCs/>
          <w:sz w:val="20"/>
          <w:szCs w:val="20"/>
        </w:rPr>
        <w:t>th</w:t>
      </w:r>
      <w:proofErr w:type="spellEnd"/>
      <w:r>
        <w:rPr>
          <w:b/>
          <w:bCs/>
          <w:i/>
          <w:iCs/>
          <w:sz w:val="20"/>
          <w:szCs w:val="20"/>
        </w:rPr>
        <w:t>, (Y+1)-</w:t>
      </w:r>
      <w:proofErr w:type="spellStart"/>
      <w:r>
        <w:rPr>
          <w:b/>
          <w:bCs/>
          <w:i/>
          <w:iCs/>
          <w:sz w:val="20"/>
          <w:szCs w:val="20"/>
        </w:rPr>
        <w:t>th</w:t>
      </w:r>
      <w:proofErr w:type="spellEnd"/>
      <w:r>
        <w:rPr>
          <w:b/>
          <w:bCs/>
          <w:i/>
          <w:iCs/>
          <w:sz w:val="20"/>
          <w:szCs w:val="20"/>
        </w:rPr>
        <w:t>, ....., (Y+X-1)-</w:t>
      </w:r>
      <w:proofErr w:type="spellStart"/>
      <w:r>
        <w:rPr>
          <w:b/>
          <w:bCs/>
          <w:i/>
          <w:iCs/>
          <w:sz w:val="20"/>
          <w:szCs w:val="20"/>
        </w:rPr>
        <w:t>th</w:t>
      </w:r>
      <w:proofErr w:type="spellEnd"/>
      <w:r>
        <w:rPr>
          <w:b/>
          <w:bCs/>
          <w:i/>
          <w:iCs/>
          <w:sz w:val="20"/>
          <w:szCs w:val="20"/>
        </w:rPr>
        <w:t xml:space="preserve"> symbols in a slot semi-statically for UL as indicated in TDD-UL-DL-</w:t>
      </w:r>
      <w:proofErr w:type="spellStart"/>
      <w:r>
        <w:rPr>
          <w:b/>
          <w:bCs/>
          <w:i/>
          <w:iCs/>
          <w:sz w:val="20"/>
          <w:szCs w:val="20"/>
        </w:rPr>
        <w:t>ConfigCommon</w:t>
      </w:r>
      <w:proofErr w:type="spellEnd"/>
      <w:r>
        <w:rPr>
          <w:b/>
          <w:bCs/>
          <w:i/>
          <w:iCs/>
          <w:sz w:val="20"/>
          <w:szCs w:val="20"/>
        </w:rPr>
        <w:t>, where</w:t>
      </w:r>
    </w:p>
    <w:p w:rsidR="00D044E8" w:rsidRDefault="00D044E8" w:rsidP="00D044E8">
      <w:pPr>
        <w:pStyle w:val="12"/>
        <w:numPr>
          <w:ilvl w:val="3"/>
          <w:numId w:val="10"/>
        </w:numPr>
        <w:rPr>
          <w:b/>
          <w:bCs/>
          <w:i/>
          <w:iCs/>
          <w:sz w:val="20"/>
          <w:szCs w:val="20"/>
        </w:rPr>
      </w:pPr>
      <w:r>
        <w:rPr>
          <w:b/>
          <w:bCs/>
          <w:i/>
          <w:iCs/>
          <w:sz w:val="20"/>
          <w:szCs w:val="20"/>
        </w:rPr>
        <w:t xml:space="preserve">X is </w:t>
      </w:r>
      <w:proofErr w:type="spellStart"/>
      <w:r>
        <w:rPr>
          <w:b/>
          <w:bCs/>
          <w:i/>
          <w:iCs/>
          <w:sz w:val="20"/>
          <w:szCs w:val="20"/>
        </w:rPr>
        <w:t>sl-LengthSymbols</w:t>
      </w:r>
      <w:proofErr w:type="spellEnd"/>
    </w:p>
    <w:p w:rsidR="00D044E8" w:rsidRDefault="00D044E8" w:rsidP="00D044E8">
      <w:pPr>
        <w:pStyle w:val="12"/>
        <w:numPr>
          <w:ilvl w:val="3"/>
          <w:numId w:val="10"/>
        </w:numPr>
        <w:rPr>
          <w:b/>
          <w:bCs/>
          <w:i/>
          <w:iCs/>
          <w:sz w:val="20"/>
          <w:szCs w:val="20"/>
        </w:rPr>
      </w:pPr>
      <w:r>
        <w:rPr>
          <w:b/>
          <w:bCs/>
          <w:i/>
          <w:iCs/>
          <w:sz w:val="20"/>
          <w:szCs w:val="20"/>
        </w:rPr>
        <w:t xml:space="preserve">Y is </w:t>
      </w:r>
      <w:proofErr w:type="spellStart"/>
      <w:r>
        <w:rPr>
          <w:b/>
          <w:bCs/>
          <w:i/>
          <w:iCs/>
          <w:sz w:val="20"/>
          <w:szCs w:val="20"/>
        </w:rPr>
        <w:t>sl-StartSymbol</w:t>
      </w:r>
      <w:proofErr w:type="spellEnd"/>
    </w:p>
    <w:p w:rsidR="00D044E8" w:rsidRDefault="00D044E8" w:rsidP="00D044E8">
      <w:pPr>
        <w:spacing w:before="120" w:after="120"/>
        <w:rPr>
          <w:rFonts w:hint="eastAsia"/>
        </w:rPr>
      </w:pPr>
    </w:p>
    <w:p w:rsidR="00516E81" w:rsidRDefault="00516E81" w:rsidP="00516E81">
      <w:pPr>
        <w:spacing w:before="120" w:after="120"/>
        <w:rPr>
          <w:b/>
          <w:bCs/>
          <w:i/>
          <w:iCs/>
          <w:sz w:val="20"/>
        </w:rPr>
      </w:pPr>
      <w:r>
        <w:rPr>
          <w:rFonts w:hint="eastAsia"/>
          <w:b/>
          <w:bCs/>
          <w:i/>
          <w:iCs/>
          <w:sz w:val="20"/>
        </w:rPr>
        <w:t>Observation 2: T</w:t>
      </w:r>
      <w:r>
        <w:rPr>
          <w:rFonts w:hint="eastAsia"/>
          <w:b/>
          <w:bCs/>
          <w:i/>
          <w:iCs/>
          <w:sz w:val="20"/>
        </w:rPr>
        <w:t xml:space="preserve">aking the </w:t>
      </w:r>
      <w:proofErr w:type="spellStart"/>
      <w:r>
        <w:rPr>
          <w:rFonts w:hint="eastAsia"/>
          <w:b/>
          <w:bCs/>
          <w:i/>
          <w:iCs/>
          <w:sz w:val="20"/>
        </w:rPr>
        <w:t>tdd-config</w:t>
      </w:r>
      <w:proofErr w:type="spellEnd"/>
      <w:r>
        <w:rPr>
          <w:rFonts w:hint="eastAsia"/>
          <w:b/>
          <w:bCs/>
          <w:i/>
          <w:iCs/>
          <w:sz w:val="20"/>
        </w:rPr>
        <w:t xml:space="preserve"> in rec</w:t>
      </w:r>
      <w:r>
        <w:rPr>
          <w:rFonts w:hint="eastAsia"/>
          <w:b/>
          <w:bCs/>
          <w:i/>
          <w:iCs/>
          <w:sz w:val="20"/>
        </w:rPr>
        <w:t>eived PSBCH to determine receive resource pool is reasonable and flexible.</w:t>
      </w:r>
    </w:p>
    <w:p w:rsidR="00516E81" w:rsidRPr="00516E81" w:rsidRDefault="00516E81" w:rsidP="00D044E8">
      <w:pPr>
        <w:spacing w:before="120" w:after="120"/>
      </w:pPr>
    </w:p>
    <w:p w:rsidR="00D044E8" w:rsidRDefault="00D044E8" w:rsidP="00D044E8">
      <w:pPr>
        <w:spacing w:before="120" w:after="120"/>
        <w:rPr>
          <w:b/>
          <w:i/>
          <w:iCs/>
          <w:color w:val="000000"/>
          <w:kern w:val="0"/>
          <w:sz w:val="20"/>
        </w:rPr>
      </w:pPr>
      <w:r>
        <w:rPr>
          <w:rFonts w:hint="eastAsia"/>
          <w:b/>
          <w:i/>
          <w:iCs/>
          <w:color w:val="000000"/>
          <w:kern w:val="0"/>
          <w:sz w:val="20"/>
        </w:rPr>
        <w:t>Proposal 1 WA should be confirmed with the following note</w:t>
      </w:r>
    </w:p>
    <w:p w:rsidR="00D044E8" w:rsidRDefault="00D044E8" w:rsidP="00D044E8">
      <w:pPr>
        <w:pStyle w:val="12"/>
        <w:numPr>
          <w:ilvl w:val="2"/>
          <w:numId w:val="10"/>
        </w:numPr>
        <w:rPr>
          <w:sz w:val="20"/>
          <w:szCs w:val="20"/>
        </w:rPr>
      </w:pPr>
      <w:r>
        <w:rPr>
          <w:sz w:val="20"/>
          <w:szCs w:val="20"/>
        </w:rPr>
        <w:t>slots</w:t>
      </w:r>
      <w:r>
        <w:rPr>
          <w:rFonts w:hint="eastAsia"/>
          <w:sz w:val="20"/>
          <w:szCs w:val="20"/>
        </w:rPr>
        <w:t xml:space="preserve"> </w:t>
      </w:r>
      <w:r>
        <w:rPr>
          <w:rFonts w:hint="eastAsia"/>
          <w:color w:val="FF0000"/>
          <w:sz w:val="20"/>
          <w:szCs w:val="20"/>
        </w:rPr>
        <w:t>in SL BWP</w:t>
      </w:r>
      <w:r>
        <w:rPr>
          <w:sz w:val="20"/>
          <w:szCs w:val="20"/>
        </w:rPr>
        <w:t xml:space="preserve"> not having at least Y-</w:t>
      </w:r>
      <w:proofErr w:type="spellStart"/>
      <w:r>
        <w:rPr>
          <w:sz w:val="20"/>
          <w:szCs w:val="20"/>
        </w:rPr>
        <w:t>th</w:t>
      </w:r>
      <w:proofErr w:type="spellEnd"/>
      <w:r>
        <w:rPr>
          <w:sz w:val="20"/>
          <w:szCs w:val="20"/>
        </w:rPr>
        <w:t>, (Y+1)-</w:t>
      </w:r>
      <w:proofErr w:type="spellStart"/>
      <w:r>
        <w:rPr>
          <w:sz w:val="20"/>
          <w:szCs w:val="20"/>
        </w:rPr>
        <w:t>th</w:t>
      </w:r>
      <w:proofErr w:type="spellEnd"/>
      <w:r>
        <w:rPr>
          <w:sz w:val="20"/>
          <w:szCs w:val="20"/>
        </w:rPr>
        <w:t>, ....., (Y+X-1)-</w:t>
      </w:r>
      <w:proofErr w:type="spellStart"/>
      <w:r>
        <w:rPr>
          <w:sz w:val="20"/>
          <w:szCs w:val="20"/>
        </w:rPr>
        <w:t>th</w:t>
      </w:r>
      <w:proofErr w:type="spellEnd"/>
      <w:r>
        <w:rPr>
          <w:sz w:val="20"/>
          <w:szCs w:val="20"/>
        </w:rPr>
        <w:t xml:space="preserve"> symbols in a slot semi-statically for UL as indicated in TDD-UL-DL-</w:t>
      </w:r>
      <w:proofErr w:type="spellStart"/>
      <w:r>
        <w:rPr>
          <w:sz w:val="20"/>
          <w:szCs w:val="20"/>
        </w:rPr>
        <w:t>ConfigCommon</w:t>
      </w:r>
      <w:proofErr w:type="spellEnd"/>
      <w:r>
        <w:rPr>
          <w:sz w:val="20"/>
          <w:szCs w:val="20"/>
        </w:rPr>
        <w:t>, where</w:t>
      </w:r>
    </w:p>
    <w:p w:rsidR="00D044E8" w:rsidRDefault="00D044E8" w:rsidP="00D044E8">
      <w:pPr>
        <w:pStyle w:val="12"/>
        <w:numPr>
          <w:ilvl w:val="3"/>
          <w:numId w:val="10"/>
        </w:numPr>
        <w:rPr>
          <w:sz w:val="20"/>
          <w:szCs w:val="20"/>
        </w:rPr>
      </w:pPr>
      <w:r>
        <w:rPr>
          <w:sz w:val="20"/>
          <w:szCs w:val="20"/>
        </w:rPr>
        <w:t xml:space="preserve">X is </w:t>
      </w:r>
      <w:proofErr w:type="spellStart"/>
      <w:r>
        <w:rPr>
          <w:sz w:val="20"/>
          <w:szCs w:val="20"/>
        </w:rPr>
        <w:t>sl-LengthSymbols</w:t>
      </w:r>
      <w:proofErr w:type="spellEnd"/>
    </w:p>
    <w:p w:rsidR="00D044E8" w:rsidRDefault="00D044E8" w:rsidP="00D044E8">
      <w:pPr>
        <w:pStyle w:val="12"/>
        <w:numPr>
          <w:ilvl w:val="3"/>
          <w:numId w:val="10"/>
        </w:numPr>
        <w:rPr>
          <w:sz w:val="20"/>
          <w:szCs w:val="20"/>
        </w:rPr>
      </w:pPr>
      <w:r>
        <w:rPr>
          <w:sz w:val="20"/>
          <w:szCs w:val="20"/>
        </w:rPr>
        <w:t xml:space="preserve">Y is </w:t>
      </w:r>
      <w:proofErr w:type="spellStart"/>
      <w:r>
        <w:rPr>
          <w:sz w:val="20"/>
          <w:szCs w:val="20"/>
        </w:rPr>
        <w:t>sl-StartSymbol</w:t>
      </w:r>
      <w:proofErr w:type="spellEnd"/>
    </w:p>
    <w:p w:rsidR="00D044E8" w:rsidRDefault="00D044E8" w:rsidP="00D044E8">
      <w:pPr>
        <w:spacing w:before="120" w:after="120"/>
        <w:rPr>
          <w:color w:val="FF0000"/>
          <w:sz w:val="20"/>
        </w:rPr>
      </w:pPr>
      <w:r>
        <w:rPr>
          <w:rFonts w:hint="eastAsia"/>
          <w:b/>
          <w:color w:val="FF0000"/>
          <w:sz w:val="20"/>
        </w:rPr>
        <w:t>Note</w:t>
      </w:r>
      <w:r>
        <w:rPr>
          <w:rFonts w:hint="eastAsia"/>
          <w:color w:val="FF0000"/>
          <w:sz w:val="20"/>
        </w:rPr>
        <w:t xml:space="preserve">: </w:t>
      </w:r>
      <w:r>
        <w:rPr>
          <w:color w:val="FF0000"/>
          <w:sz w:val="20"/>
        </w:rPr>
        <w:t xml:space="preserve">The UL slot(s) derived by out of coverage UE from PSBCH should be aligned with that derived by in coverage UE from </w:t>
      </w:r>
      <w:r w:rsidRPr="00D044E8">
        <w:rPr>
          <w:i/>
          <w:color w:val="FF0000"/>
          <w:sz w:val="20"/>
        </w:rPr>
        <w:t>TDD-UL-DL-</w:t>
      </w:r>
      <w:proofErr w:type="spellStart"/>
      <w:r w:rsidRPr="00D044E8">
        <w:rPr>
          <w:i/>
          <w:color w:val="FF0000"/>
          <w:sz w:val="20"/>
        </w:rPr>
        <w:t>ConfigCommon</w:t>
      </w:r>
      <w:proofErr w:type="spellEnd"/>
    </w:p>
    <w:p w:rsidR="002235BB" w:rsidRPr="00D044E8" w:rsidRDefault="002235BB" w:rsidP="00FA4EA6">
      <w:pPr>
        <w:spacing w:before="120" w:after="120"/>
        <w:rPr>
          <w:szCs w:val="22"/>
        </w:rPr>
      </w:pPr>
    </w:p>
    <w:p w:rsidR="002235BB" w:rsidRDefault="002235BB" w:rsidP="00FA4EA6">
      <w:pPr>
        <w:spacing w:before="120" w:after="120"/>
      </w:pPr>
    </w:p>
    <w:p w:rsidR="002235BB" w:rsidRDefault="002235BB" w:rsidP="00FA4EA6">
      <w:pPr>
        <w:spacing w:before="120" w:after="120"/>
      </w:pPr>
    </w:p>
    <w:p w:rsidR="002235BB" w:rsidRDefault="0094489C" w:rsidP="00FA4EA6">
      <w:pPr>
        <w:pStyle w:val="1"/>
        <w:spacing w:before="120" w:after="120"/>
        <w:ind w:left="0"/>
        <w:rPr>
          <w:rFonts w:eastAsia="宋体"/>
        </w:rPr>
      </w:pPr>
      <w:r>
        <w:rPr>
          <w:rFonts w:eastAsia="宋体" w:hint="eastAsia"/>
        </w:rPr>
        <w:t>Reference</w:t>
      </w:r>
      <w:r>
        <w:rPr>
          <w:rFonts w:eastAsia="宋体"/>
        </w:rPr>
        <w:t>s</w:t>
      </w:r>
    </w:p>
    <w:p w:rsidR="002235BB" w:rsidRDefault="0094489C" w:rsidP="00FA4EA6">
      <w:pPr>
        <w:pStyle w:val="References"/>
        <w:spacing w:before="120" w:after="120"/>
        <w:ind w:left="363" w:hanging="363"/>
        <w:rPr>
          <w:szCs w:val="20"/>
        </w:rPr>
      </w:pPr>
      <w:bookmarkStart w:id="3" w:name="_Ref17466"/>
      <w:bookmarkStart w:id="4" w:name="_Ref31645"/>
      <w:r>
        <w:rPr>
          <w:rFonts w:hint="eastAsia"/>
          <w:szCs w:val="20"/>
        </w:rPr>
        <w:t xml:space="preserve"> </w:t>
      </w:r>
      <w:bookmarkEnd w:id="4"/>
      <w:r w:rsidR="003D7904">
        <w:rPr>
          <w:rFonts w:hint="eastAsia"/>
          <w:szCs w:val="20"/>
        </w:rPr>
        <w:t>TS 36.331 g00</w:t>
      </w:r>
    </w:p>
    <w:bookmarkEnd w:id="3"/>
    <w:p w:rsidR="002235BB" w:rsidRDefault="002235BB">
      <w:pPr>
        <w:spacing w:beforeLines="0" w:afterLines="0"/>
        <w:jc w:val="left"/>
      </w:pPr>
    </w:p>
    <w:sectPr w:rsidR="002235BB" w:rsidSect="002235BB">
      <w:headerReference w:type="even" r:id="rId14"/>
      <w:headerReference w:type="default" r:id="rId15"/>
      <w:footerReference w:type="even" r:id="rId16"/>
      <w:footerReference w:type="default" r:id="rId17"/>
      <w:headerReference w:type="first" r:id="rId18"/>
      <w:footerReference w:type="first" r:id="rId19"/>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89C" w:rsidRDefault="0094489C" w:rsidP="00FA4EA6">
      <w:pPr>
        <w:spacing w:before="120" w:after="120"/>
      </w:pPr>
      <w:r>
        <w:separator/>
      </w:r>
    </w:p>
  </w:endnote>
  <w:endnote w:type="continuationSeparator" w:id="0">
    <w:p w:rsidR="0094489C" w:rsidRDefault="0094489C" w:rsidP="00FA4EA6">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EA6" w:rsidRDefault="00FA4EA6" w:rsidP="00FA4EA6">
    <w:pPr>
      <w:pStyle w:val="a3"/>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5BB" w:rsidRDefault="002235BB" w:rsidP="00FA4EA6">
    <w:pPr>
      <w:pStyle w:val="a3"/>
      <w:spacing w:before="120" w:after="120"/>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2235BB" w:rsidRDefault="002235BB" w:rsidP="00FA4EA6">
                <w:pPr>
                  <w:pStyle w:val="a3"/>
                  <w:spacing w:before="120" w:after="120"/>
                </w:pPr>
                <w:r>
                  <w:rPr>
                    <w:rFonts w:hint="eastAsia"/>
                  </w:rPr>
                  <w:fldChar w:fldCharType="begin"/>
                </w:r>
                <w:r w:rsidR="0094489C">
                  <w:rPr>
                    <w:rFonts w:hint="eastAsia"/>
                  </w:rPr>
                  <w:instrText xml:space="preserve"> PAGE  \* MERGEFORMAT </w:instrText>
                </w:r>
                <w:r>
                  <w:rPr>
                    <w:rFonts w:hint="eastAsia"/>
                  </w:rPr>
                  <w:fldChar w:fldCharType="separate"/>
                </w:r>
                <w:r w:rsidR="00EB5FF8">
                  <w:rPr>
                    <w:noProof/>
                  </w:rPr>
                  <w:t>1</w:t>
                </w:r>
                <w:r>
                  <w:rPr>
                    <w:rFonts w:hint="eastAsia"/>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EA6" w:rsidRDefault="00FA4EA6" w:rsidP="00FA4EA6">
    <w:pPr>
      <w:pStyle w:val="a3"/>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89C" w:rsidRDefault="0094489C" w:rsidP="00FA4EA6">
      <w:pPr>
        <w:spacing w:before="120" w:after="120"/>
      </w:pPr>
      <w:r>
        <w:separator/>
      </w:r>
    </w:p>
  </w:footnote>
  <w:footnote w:type="continuationSeparator" w:id="0">
    <w:p w:rsidR="0094489C" w:rsidRDefault="0094489C" w:rsidP="00FA4EA6">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EA6" w:rsidRDefault="00FA4EA6" w:rsidP="00FA4EA6">
    <w:pPr>
      <w:pStyle w:val="a6"/>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EA6" w:rsidRDefault="00FA4EA6" w:rsidP="00FA4EA6">
    <w:pPr>
      <w:pStyle w:val="a6"/>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EA6" w:rsidRDefault="00FA4EA6" w:rsidP="00FA4EA6">
    <w:pPr>
      <w:pStyle w:val="a6"/>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nsid w:val="181173FB"/>
    <w:multiLevelType w:val="multilevel"/>
    <w:tmpl w:val="18117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6">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宋体" w:hAnsi="Times New Roman" w:cs="Times New Roman" w:hint="default"/>
        <w:i/>
        <w:iCs/>
      </w:rPr>
    </w:lvl>
  </w:abstractNum>
  <w:abstractNum w:abstractNumId="9">
    <w:nsid w:val="4BE95FAD"/>
    <w:multiLevelType w:val="multilevel"/>
    <w:tmpl w:val="4BE95F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81E0686"/>
    <w:multiLevelType w:val="multilevel"/>
    <w:tmpl w:val="681E0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1"/>
  </w:num>
  <w:num w:numId="5">
    <w:abstractNumId w:val="7"/>
  </w:num>
  <w:num w:numId="6">
    <w:abstractNumId w:val="0"/>
  </w:num>
  <w:num w:numId="7">
    <w:abstractNumId w:val="8"/>
  </w:num>
  <w:num w:numId="8">
    <w:abstractNumId w:val="4"/>
  </w:num>
  <w:num w:numId="9">
    <w:abstractNumId w:val="10"/>
  </w:num>
  <w:num w:numId="10">
    <w:abstractNumId w:val="3"/>
  </w:num>
  <w:num w:numId="11">
    <w:abstractNumId w:val="2"/>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stylePaneFormatFilter w:val="3F01"/>
  <w:defaultTabStop w:val="420"/>
  <w:drawingGridHorizontalSpacing w:val="120"/>
  <w:drawingGridVerticalSpacing w:val="120"/>
  <w:displayHorizontalDrawingGridEvery w:val="3"/>
  <w:displayVerticalDrawingGridEvery w:val="3"/>
  <w:doNotUseMarginsForDrawingGridOrigin/>
  <w:doNotShadeFormData/>
  <w:characterSpacingControl w:val="compressPunctuation"/>
  <w:doNotValidateAgainstSchema/>
  <w:doNotDemarcateInvalidXml/>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C72F2"/>
    <w:rsid w:val="0012084B"/>
    <w:rsid w:val="00133598"/>
    <w:rsid w:val="00171E88"/>
    <w:rsid w:val="00172A27"/>
    <w:rsid w:val="00190BDA"/>
    <w:rsid w:val="001961C4"/>
    <w:rsid w:val="00197027"/>
    <w:rsid w:val="001C3599"/>
    <w:rsid w:val="002235BB"/>
    <w:rsid w:val="00287184"/>
    <w:rsid w:val="002E2429"/>
    <w:rsid w:val="0036240E"/>
    <w:rsid w:val="00386B29"/>
    <w:rsid w:val="003D3246"/>
    <w:rsid w:val="003D7904"/>
    <w:rsid w:val="00451DA7"/>
    <w:rsid w:val="00481C86"/>
    <w:rsid w:val="004A4C3D"/>
    <w:rsid w:val="00516E81"/>
    <w:rsid w:val="005B065E"/>
    <w:rsid w:val="006D2FC5"/>
    <w:rsid w:val="00866B5B"/>
    <w:rsid w:val="00884220"/>
    <w:rsid w:val="00910BB0"/>
    <w:rsid w:val="00915B95"/>
    <w:rsid w:val="00931769"/>
    <w:rsid w:val="00934FAC"/>
    <w:rsid w:val="0094489C"/>
    <w:rsid w:val="0096044C"/>
    <w:rsid w:val="00994CC9"/>
    <w:rsid w:val="009B5F22"/>
    <w:rsid w:val="009B7EBB"/>
    <w:rsid w:val="00A12536"/>
    <w:rsid w:val="00A37284"/>
    <w:rsid w:val="00B94965"/>
    <w:rsid w:val="00BE1C27"/>
    <w:rsid w:val="00CB44A7"/>
    <w:rsid w:val="00CD7167"/>
    <w:rsid w:val="00CF0E70"/>
    <w:rsid w:val="00D044E8"/>
    <w:rsid w:val="00D819C5"/>
    <w:rsid w:val="00E26778"/>
    <w:rsid w:val="00E36A13"/>
    <w:rsid w:val="00EB5FF8"/>
    <w:rsid w:val="00FA4EA6"/>
    <w:rsid w:val="00FB3E31"/>
    <w:rsid w:val="00FD2DE4"/>
    <w:rsid w:val="01764F01"/>
    <w:rsid w:val="024D6B6A"/>
    <w:rsid w:val="029B04E7"/>
    <w:rsid w:val="03073BDC"/>
    <w:rsid w:val="033F44DC"/>
    <w:rsid w:val="0555228E"/>
    <w:rsid w:val="059D1E39"/>
    <w:rsid w:val="05E078B3"/>
    <w:rsid w:val="077D0583"/>
    <w:rsid w:val="079724D0"/>
    <w:rsid w:val="082A352F"/>
    <w:rsid w:val="08C349D1"/>
    <w:rsid w:val="09F67CD5"/>
    <w:rsid w:val="0B9E71DF"/>
    <w:rsid w:val="0C9D30C2"/>
    <w:rsid w:val="0E172BD0"/>
    <w:rsid w:val="10A50104"/>
    <w:rsid w:val="119D7849"/>
    <w:rsid w:val="1242135C"/>
    <w:rsid w:val="13A1683F"/>
    <w:rsid w:val="14DA3DA1"/>
    <w:rsid w:val="17155857"/>
    <w:rsid w:val="17950508"/>
    <w:rsid w:val="19010C43"/>
    <w:rsid w:val="19084C73"/>
    <w:rsid w:val="1A054259"/>
    <w:rsid w:val="1B7F6005"/>
    <w:rsid w:val="1C132CB9"/>
    <w:rsid w:val="1CCC26CA"/>
    <w:rsid w:val="1E9D6342"/>
    <w:rsid w:val="204E6676"/>
    <w:rsid w:val="2195668B"/>
    <w:rsid w:val="21BE5AD4"/>
    <w:rsid w:val="245C52F8"/>
    <w:rsid w:val="2463385E"/>
    <w:rsid w:val="25134332"/>
    <w:rsid w:val="257E508F"/>
    <w:rsid w:val="27AB7429"/>
    <w:rsid w:val="285C053E"/>
    <w:rsid w:val="29FA7F26"/>
    <w:rsid w:val="2B774832"/>
    <w:rsid w:val="2CB47BAD"/>
    <w:rsid w:val="2F1251F2"/>
    <w:rsid w:val="30962F3E"/>
    <w:rsid w:val="30D17E68"/>
    <w:rsid w:val="30FF2795"/>
    <w:rsid w:val="329A6ACE"/>
    <w:rsid w:val="360B1D73"/>
    <w:rsid w:val="361F3323"/>
    <w:rsid w:val="36E93760"/>
    <w:rsid w:val="3784394E"/>
    <w:rsid w:val="38AE3BB0"/>
    <w:rsid w:val="3ACB5746"/>
    <w:rsid w:val="3BB20883"/>
    <w:rsid w:val="3E441C7D"/>
    <w:rsid w:val="3FC956FF"/>
    <w:rsid w:val="40A36A71"/>
    <w:rsid w:val="41D3631F"/>
    <w:rsid w:val="41F466FD"/>
    <w:rsid w:val="42A67A24"/>
    <w:rsid w:val="42D846B9"/>
    <w:rsid w:val="440D5045"/>
    <w:rsid w:val="45BE6191"/>
    <w:rsid w:val="460C5979"/>
    <w:rsid w:val="47C01792"/>
    <w:rsid w:val="4808150F"/>
    <w:rsid w:val="49E9233D"/>
    <w:rsid w:val="4AAD1944"/>
    <w:rsid w:val="4AC31003"/>
    <w:rsid w:val="4AE93159"/>
    <w:rsid w:val="4BD0339A"/>
    <w:rsid w:val="4D462159"/>
    <w:rsid w:val="4D5C5FAC"/>
    <w:rsid w:val="4DC605B6"/>
    <w:rsid w:val="4DEC0985"/>
    <w:rsid w:val="4E27683A"/>
    <w:rsid w:val="4F2765B1"/>
    <w:rsid w:val="4F285975"/>
    <w:rsid w:val="51867298"/>
    <w:rsid w:val="52195EDF"/>
    <w:rsid w:val="52313387"/>
    <w:rsid w:val="52E04D27"/>
    <w:rsid w:val="539A390F"/>
    <w:rsid w:val="53DB3477"/>
    <w:rsid w:val="54AF6B42"/>
    <w:rsid w:val="55DD6F2A"/>
    <w:rsid w:val="56E23970"/>
    <w:rsid w:val="578F220A"/>
    <w:rsid w:val="57FC07D9"/>
    <w:rsid w:val="58500F22"/>
    <w:rsid w:val="591C0009"/>
    <w:rsid w:val="5ACF0F3A"/>
    <w:rsid w:val="5C6B1600"/>
    <w:rsid w:val="5C921AD0"/>
    <w:rsid w:val="5DFD51DB"/>
    <w:rsid w:val="5E0D36E5"/>
    <w:rsid w:val="607C3753"/>
    <w:rsid w:val="60C30855"/>
    <w:rsid w:val="61421EFD"/>
    <w:rsid w:val="615C5041"/>
    <w:rsid w:val="664805B8"/>
    <w:rsid w:val="690F418B"/>
    <w:rsid w:val="6A7A2736"/>
    <w:rsid w:val="6A7B4B9C"/>
    <w:rsid w:val="6C89456C"/>
    <w:rsid w:val="6FA629D4"/>
    <w:rsid w:val="70BB2EF0"/>
    <w:rsid w:val="73D425F7"/>
    <w:rsid w:val="750A2023"/>
    <w:rsid w:val="7676736A"/>
    <w:rsid w:val="76933951"/>
    <w:rsid w:val="771D661B"/>
    <w:rsid w:val="78782A0D"/>
    <w:rsid w:val="79A2171F"/>
    <w:rsid w:val="79A252FF"/>
    <w:rsid w:val="79D33056"/>
    <w:rsid w:val="7C26369C"/>
    <w:rsid w:val="7C9E5A24"/>
    <w:rsid w:val="7D62117D"/>
    <w:rsid w:val="7E3E1EF2"/>
    <w:rsid w:val="7E951513"/>
    <w:rsid w:val="7EF74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qFormat="1"/>
    <w:lsdException w:name="toc 2" w:qFormat="1"/>
    <w:lsdException w:name="toc 3" w:semiHidden="0" w:qFormat="1"/>
    <w:lsdException w:name="header" w:uiPriority="0" w:unhideWhenUsed="0" w:qFormat="1"/>
    <w:lsdException w:name="footer" w:qFormat="1"/>
    <w:lsdException w:name="caption" w:uiPriority="0" w:qFormat="1"/>
    <w:lsdException w:name="table of figures" w:qFormat="1"/>
    <w:lsdException w:name="Default Paragraph Font" w:semiHidden="0" w:qFormat="1"/>
    <w:lsdException w:name="Normal Table"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5BB"/>
    <w:pPr>
      <w:spacing w:beforeLines="50" w:afterLines="50"/>
      <w:jc w:val="both"/>
    </w:pPr>
    <w:rPr>
      <w:kern w:val="2"/>
      <w:sz w:val="21"/>
    </w:rPr>
  </w:style>
  <w:style w:type="paragraph" w:styleId="1">
    <w:name w:val="heading 1"/>
    <w:basedOn w:val="a"/>
    <w:next w:val="a"/>
    <w:qFormat/>
    <w:rsid w:val="002235BB"/>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2235BB"/>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2235BB"/>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99"/>
    <w:unhideWhenUsed/>
    <w:qFormat/>
    <w:rsid w:val="002235BB"/>
    <w:pPr>
      <w:adjustRightInd w:val="0"/>
      <w:ind w:leftChars="400" w:left="1282" w:hangingChars="200" w:hanging="442"/>
    </w:pPr>
    <w:rPr>
      <w:b/>
      <w:i/>
      <w:sz w:val="20"/>
    </w:rPr>
  </w:style>
  <w:style w:type="paragraph" w:styleId="a3">
    <w:name w:val="footer"/>
    <w:basedOn w:val="a"/>
    <w:uiPriority w:val="99"/>
    <w:semiHidden/>
    <w:unhideWhenUsed/>
    <w:qFormat/>
    <w:rsid w:val="002235BB"/>
    <w:pPr>
      <w:tabs>
        <w:tab w:val="center" w:pos="4153"/>
        <w:tab w:val="right" w:pos="8306"/>
      </w:tabs>
      <w:snapToGrid w:val="0"/>
      <w:jc w:val="left"/>
    </w:pPr>
    <w:rPr>
      <w:sz w:val="18"/>
      <w:szCs w:val="18"/>
    </w:rPr>
  </w:style>
  <w:style w:type="paragraph" w:styleId="10">
    <w:name w:val="toc 1"/>
    <w:basedOn w:val="a"/>
    <w:next w:val="a"/>
    <w:uiPriority w:val="99"/>
    <w:unhideWhenUsed/>
    <w:qFormat/>
    <w:rsid w:val="002235BB"/>
    <w:rPr>
      <w:rFonts w:eastAsiaTheme="minorEastAsia"/>
      <w:b/>
      <w:i/>
      <w:sz w:val="20"/>
    </w:rPr>
  </w:style>
  <w:style w:type="paragraph" w:styleId="a4">
    <w:name w:val="table of figures"/>
    <w:basedOn w:val="a"/>
    <w:next w:val="a"/>
    <w:uiPriority w:val="99"/>
    <w:semiHidden/>
    <w:unhideWhenUsed/>
    <w:qFormat/>
    <w:rsid w:val="002235BB"/>
    <w:pPr>
      <w:ind w:leftChars="200" w:left="200" w:hangingChars="200" w:hanging="200"/>
    </w:pPr>
  </w:style>
  <w:style w:type="paragraph" w:styleId="20">
    <w:name w:val="toc 2"/>
    <w:basedOn w:val="a"/>
    <w:next w:val="a"/>
    <w:uiPriority w:val="99"/>
    <w:semiHidden/>
    <w:unhideWhenUsed/>
    <w:qFormat/>
    <w:rsid w:val="002235BB"/>
    <w:pPr>
      <w:ind w:leftChars="200" w:left="862" w:hangingChars="200" w:hanging="442"/>
    </w:pPr>
    <w:rPr>
      <w:b/>
      <w:i/>
      <w:sz w:val="20"/>
    </w:rPr>
  </w:style>
  <w:style w:type="paragraph" w:customStyle="1" w:styleId="YJ-Proposal">
    <w:name w:val="YJ-Proposal"/>
    <w:basedOn w:val="a"/>
    <w:qFormat/>
    <w:rsid w:val="002235BB"/>
    <w:pPr>
      <w:numPr>
        <w:numId w:val="2"/>
      </w:numPr>
    </w:pPr>
    <w:rPr>
      <w:rFonts w:eastAsiaTheme="minorEastAsia"/>
      <w:b/>
      <w:bCs/>
      <w:i/>
      <w:iCs/>
      <w:sz w:val="20"/>
      <w:lang w:val="en-GB" w:eastAsia="en-US"/>
    </w:rPr>
  </w:style>
  <w:style w:type="paragraph" w:customStyle="1" w:styleId="YJ-Observation">
    <w:name w:val="YJ-Observation"/>
    <w:basedOn w:val="YJ-Proposal"/>
    <w:qFormat/>
    <w:rsid w:val="002235BB"/>
    <w:pPr>
      <w:numPr>
        <w:numId w:val="3"/>
      </w:numPr>
      <w:tabs>
        <w:tab w:val="left" w:pos="420"/>
      </w:tabs>
    </w:pPr>
  </w:style>
  <w:style w:type="paragraph" w:customStyle="1" w:styleId="sub-proposal">
    <w:name w:val="sub-proposal"/>
    <w:basedOn w:val="YJ-Proposal"/>
    <w:next w:val="a"/>
    <w:qFormat/>
    <w:rsid w:val="002235BB"/>
    <w:pPr>
      <w:numPr>
        <w:numId w:val="4"/>
      </w:numPr>
      <w:ind w:leftChars="200" w:left="862" w:hangingChars="200" w:hanging="442"/>
    </w:pPr>
  </w:style>
  <w:style w:type="paragraph" w:customStyle="1" w:styleId="sub-observation">
    <w:name w:val="sub-observation"/>
    <w:basedOn w:val="sub-proposal"/>
    <w:next w:val="a"/>
    <w:qFormat/>
    <w:rsid w:val="002235BB"/>
  </w:style>
  <w:style w:type="paragraph" w:customStyle="1" w:styleId="References">
    <w:name w:val="References"/>
    <w:basedOn w:val="a"/>
    <w:qFormat/>
    <w:rsid w:val="002235BB"/>
    <w:pPr>
      <w:numPr>
        <w:numId w:val="5"/>
      </w:numPr>
      <w:spacing w:after="60"/>
    </w:pPr>
    <w:rPr>
      <w:szCs w:val="16"/>
    </w:rPr>
  </w:style>
  <w:style w:type="paragraph" w:styleId="a5">
    <w:name w:val="List Paragraph"/>
    <w:basedOn w:val="a"/>
    <w:uiPriority w:val="34"/>
    <w:qFormat/>
    <w:rsid w:val="002235BB"/>
    <w:pPr>
      <w:spacing w:beforeLines="0"/>
      <w:ind w:left="720"/>
      <w:contextualSpacing/>
    </w:pPr>
    <w:rPr>
      <w:rFonts w:eastAsia="Times New Roman"/>
      <w:sz w:val="24"/>
      <w:szCs w:val="24"/>
    </w:rPr>
  </w:style>
  <w:style w:type="paragraph" w:customStyle="1" w:styleId="11">
    <w:name w:val="样式1"/>
    <w:basedOn w:val="a"/>
    <w:qFormat/>
    <w:rsid w:val="002235BB"/>
  </w:style>
  <w:style w:type="paragraph" w:customStyle="1" w:styleId="3rdlevelproposal">
    <w:name w:val="3rd level proposal"/>
    <w:basedOn w:val="sub-proposal"/>
    <w:next w:val="a"/>
    <w:qFormat/>
    <w:rsid w:val="002235BB"/>
    <w:pPr>
      <w:numPr>
        <w:numId w:val="6"/>
      </w:numPr>
      <w:ind w:leftChars="400" w:left="1282" w:hanging="442"/>
      <w:jc w:val="left"/>
    </w:pPr>
  </w:style>
  <w:style w:type="paragraph" w:customStyle="1" w:styleId="21">
    <w:name w:val="样式2"/>
    <w:basedOn w:val="a"/>
    <w:qFormat/>
    <w:rsid w:val="002235BB"/>
  </w:style>
  <w:style w:type="paragraph" w:customStyle="1" w:styleId="3rdlevelobservation">
    <w:name w:val="3rd level observation"/>
    <w:basedOn w:val="sub-observation"/>
    <w:qFormat/>
    <w:rsid w:val="002235BB"/>
    <w:pPr>
      <w:numPr>
        <w:numId w:val="7"/>
      </w:numPr>
      <w:ind w:leftChars="400" w:left="1282" w:hanging="442"/>
    </w:pPr>
  </w:style>
  <w:style w:type="paragraph" w:styleId="a6">
    <w:name w:val="header"/>
    <w:basedOn w:val="a"/>
    <w:link w:val="Char"/>
    <w:semiHidden/>
    <w:qFormat/>
    <w:rsid w:val="00FA4E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semiHidden/>
    <w:rsid w:val="00FA4EA6"/>
    <w:rPr>
      <w:kern w:val="2"/>
      <w:sz w:val="18"/>
      <w:szCs w:val="18"/>
    </w:rPr>
  </w:style>
  <w:style w:type="paragraph" w:styleId="a7">
    <w:name w:val="Balloon Text"/>
    <w:basedOn w:val="a"/>
    <w:link w:val="Char0"/>
    <w:uiPriority w:val="99"/>
    <w:semiHidden/>
    <w:unhideWhenUsed/>
    <w:rsid w:val="00287184"/>
    <w:rPr>
      <w:sz w:val="18"/>
      <w:szCs w:val="18"/>
    </w:rPr>
  </w:style>
  <w:style w:type="character" w:customStyle="1" w:styleId="Char0">
    <w:name w:val="批注框文本 Char"/>
    <w:basedOn w:val="a0"/>
    <w:link w:val="a7"/>
    <w:uiPriority w:val="99"/>
    <w:semiHidden/>
    <w:rsid w:val="00287184"/>
    <w:rPr>
      <w:kern w:val="2"/>
      <w:sz w:val="18"/>
      <w:szCs w:val="18"/>
    </w:rPr>
  </w:style>
  <w:style w:type="character" w:customStyle="1" w:styleId="16">
    <w:name w:val="16"/>
    <w:basedOn w:val="a0"/>
    <w:qFormat/>
    <w:rsid w:val="00287184"/>
    <w:rPr>
      <w:rFonts w:ascii="Times New Roman" w:hAnsi="Times New Roman" w:cs="Times New Roman" w:hint="default"/>
      <w:b/>
      <w:bCs/>
    </w:rPr>
  </w:style>
  <w:style w:type="paragraph" w:customStyle="1" w:styleId="12">
    <w:name w:val="列出段落1"/>
    <w:basedOn w:val="a"/>
    <w:qFormat/>
    <w:rsid w:val="00287184"/>
    <w:pPr>
      <w:overflowPunct w:val="0"/>
      <w:autoSpaceDE w:val="0"/>
      <w:autoSpaceDN w:val="0"/>
      <w:adjustRightInd w:val="0"/>
      <w:spacing w:beforeLines="0" w:beforeAutospacing="1" w:afterLines="0"/>
      <w:ind w:left="720"/>
      <w:contextualSpacing/>
      <w:jc w:val="left"/>
      <w:textAlignment w:val="baseline"/>
    </w:pPr>
    <w:rPr>
      <w:kern w:val="0"/>
      <w:sz w:val="24"/>
      <w:szCs w:val="24"/>
    </w:rPr>
  </w:style>
  <w:style w:type="paragraph" w:customStyle="1" w:styleId="B2">
    <w:name w:val="B2"/>
    <w:basedOn w:val="22"/>
    <w:link w:val="B2Char"/>
    <w:qFormat/>
    <w:rsid w:val="00915B95"/>
    <w:pPr>
      <w:ind w:leftChars="0" w:left="851" w:firstLineChars="0" w:hanging="284"/>
      <w:contextualSpacing w:val="0"/>
    </w:pPr>
  </w:style>
  <w:style w:type="character" w:customStyle="1" w:styleId="B2Char">
    <w:name w:val="B2 Char"/>
    <w:link w:val="B2"/>
    <w:qFormat/>
    <w:rsid w:val="00915B95"/>
    <w:rPr>
      <w:kern w:val="2"/>
      <w:sz w:val="21"/>
    </w:rPr>
  </w:style>
  <w:style w:type="paragraph" w:styleId="22">
    <w:name w:val="List 2"/>
    <w:basedOn w:val="a"/>
    <w:uiPriority w:val="99"/>
    <w:semiHidden/>
    <w:unhideWhenUsed/>
    <w:rsid w:val="00915B95"/>
    <w:pPr>
      <w:ind w:leftChars="200" w:left="100" w:hangingChars="200" w:hanging="200"/>
      <w:contextualSpacing/>
    </w:pPr>
  </w:style>
  <w:style w:type="paragraph" w:styleId="a8">
    <w:name w:val="caption"/>
    <w:basedOn w:val="a"/>
    <w:next w:val="a"/>
    <w:qFormat/>
    <w:rsid w:val="00915B95"/>
    <w:pPr>
      <w:overflowPunct w:val="0"/>
      <w:autoSpaceDE w:val="0"/>
      <w:autoSpaceDN w:val="0"/>
      <w:adjustRightInd w:val="0"/>
      <w:spacing w:before="120" w:after="120"/>
      <w:textAlignment w:val="baseline"/>
    </w:pPr>
    <w:rPr>
      <w:b/>
    </w:rPr>
  </w:style>
  <w:style w:type="paragraph" w:customStyle="1" w:styleId="B1">
    <w:name w:val="B1"/>
    <w:basedOn w:val="a9"/>
    <w:qFormat/>
    <w:rsid w:val="00A12536"/>
    <w:pPr>
      <w:ind w:left="568" w:firstLineChars="0" w:hanging="284"/>
      <w:contextualSpacing w:val="0"/>
    </w:pPr>
  </w:style>
  <w:style w:type="paragraph" w:customStyle="1" w:styleId="B3">
    <w:name w:val="B3"/>
    <w:basedOn w:val="31"/>
    <w:qFormat/>
    <w:rsid w:val="00A12536"/>
    <w:pPr>
      <w:ind w:leftChars="0" w:left="1135" w:firstLineChars="0" w:hanging="284"/>
      <w:contextualSpacing w:val="0"/>
    </w:pPr>
  </w:style>
  <w:style w:type="paragraph" w:styleId="a9">
    <w:name w:val="List"/>
    <w:basedOn w:val="a"/>
    <w:uiPriority w:val="99"/>
    <w:semiHidden/>
    <w:unhideWhenUsed/>
    <w:rsid w:val="00A12536"/>
    <w:pPr>
      <w:ind w:left="200" w:hangingChars="200" w:hanging="200"/>
      <w:contextualSpacing/>
    </w:pPr>
  </w:style>
  <w:style w:type="paragraph" w:styleId="31">
    <w:name w:val="List 3"/>
    <w:basedOn w:val="a"/>
    <w:uiPriority w:val="99"/>
    <w:semiHidden/>
    <w:unhideWhenUsed/>
    <w:rsid w:val="00A12536"/>
    <w:pPr>
      <w:ind w:leftChars="400" w:left="100" w:hangingChars="200" w:hanging="20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1014</Words>
  <Characters>5781</Characters>
  <Application>Microsoft Office Word</Application>
  <DocSecurity>0</DocSecurity>
  <Lines>48</Lines>
  <Paragraphs>13</Paragraphs>
  <ScaleCrop>false</ScaleCrop>
  <Company/>
  <LinksUpToDate>false</LinksUpToDate>
  <CharactersWithSpaces>6782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2</cp:revision>
  <dcterms:created xsi:type="dcterms:W3CDTF">2020-05-15T08:15:00Z</dcterms:created>
  <dcterms:modified xsi:type="dcterms:W3CDTF">2020-05-15T08:15:00Z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